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E611" w14:textId="0D15E196" w:rsidR="00E92840" w:rsidRPr="000E66C5" w:rsidRDefault="00E92840" w:rsidP="00B41EA5">
      <w:pPr>
        <w:pBdr>
          <w:bottom w:val="single" w:sz="6" w:space="1" w:color="auto"/>
        </w:pBdr>
        <w:spacing w:line="240" w:lineRule="auto"/>
        <w:jc w:val="center"/>
        <w:rPr>
          <w:rFonts w:cs="Arial"/>
          <w:b/>
          <w:bCs/>
        </w:rPr>
      </w:pPr>
      <w:r w:rsidRPr="000E66C5">
        <w:rPr>
          <w:rFonts w:cs="Arial"/>
          <w:b/>
          <w:bCs/>
          <w:color w:val="333333"/>
        </w:rPr>
        <w:t>Appeal Letter</w:t>
      </w:r>
      <w:r w:rsidR="008928D1" w:rsidRPr="000E66C5">
        <w:rPr>
          <w:rFonts w:cs="Arial"/>
          <w:b/>
          <w:bCs/>
          <w:color w:val="333333"/>
        </w:rPr>
        <w:t xml:space="preserve"> </w:t>
      </w:r>
      <w:r w:rsidR="00152929" w:rsidRPr="000E66C5">
        <w:rPr>
          <w:rFonts w:cs="Arial"/>
          <w:b/>
          <w:bCs/>
        </w:rPr>
        <w:t xml:space="preserve">Shoulder </w:t>
      </w:r>
      <w:r w:rsidR="000712A4">
        <w:rPr>
          <w:rFonts w:cs="Arial"/>
          <w:b/>
          <w:bCs/>
        </w:rPr>
        <w:t>Code 29826</w:t>
      </w:r>
      <w:bookmarkStart w:id="0" w:name="_GoBack"/>
      <w:bookmarkEnd w:id="0"/>
    </w:p>
    <w:p w14:paraId="44882873" w14:textId="388EEF3D" w:rsidR="00E92840" w:rsidRPr="000E66C5" w:rsidRDefault="00D85A56" w:rsidP="00B41EA5">
      <w:pPr>
        <w:spacing w:line="240" w:lineRule="auto"/>
        <w:rPr>
          <w:rFonts w:cs="Arial"/>
          <w:color w:val="333333"/>
        </w:rPr>
      </w:pPr>
      <w:r w:rsidRPr="000E66C5">
        <w:rPr>
          <w:rFonts w:cs="Arial"/>
          <w:color w:val="333333"/>
        </w:rPr>
        <w:t>[</w:t>
      </w:r>
      <w:r w:rsidRPr="000E66C5">
        <w:rPr>
          <w:rFonts w:cs="Arial"/>
          <w:color w:val="333333"/>
          <w:highlight w:val="lightGray"/>
        </w:rPr>
        <w:t>Date</w:t>
      </w:r>
      <w:r w:rsidRPr="000E66C5">
        <w:rPr>
          <w:rFonts w:cs="Arial"/>
          <w:color w:val="333333"/>
        </w:rPr>
        <w:t>]</w:t>
      </w:r>
    </w:p>
    <w:p w14:paraId="29DB367A" w14:textId="029E2A18" w:rsidR="00D85A56" w:rsidRPr="000E66C5" w:rsidRDefault="006D6CE1" w:rsidP="00B41EA5">
      <w:pPr>
        <w:spacing w:line="240" w:lineRule="auto"/>
        <w:rPr>
          <w:rFonts w:cs="Arial"/>
          <w:color w:val="333333"/>
        </w:rPr>
      </w:pPr>
      <w:r w:rsidRPr="000E66C5">
        <w:rPr>
          <w:rFonts w:cs="Arial"/>
          <w:color w:val="333333"/>
        </w:rPr>
        <w:t xml:space="preserve">Patient: </w:t>
      </w:r>
      <w:r w:rsidR="00D85A56" w:rsidRPr="000E66C5">
        <w:rPr>
          <w:rFonts w:cs="Arial"/>
          <w:color w:val="333333"/>
        </w:rPr>
        <w:t>[</w:t>
      </w:r>
      <w:r w:rsidR="000F43EA" w:rsidRPr="000E66C5">
        <w:rPr>
          <w:rFonts w:cs="Arial"/>
          <w:color w:val="333333"/>
          <w:highlight w:val="lightGray"/>
        </w:rPr>
        <w:t>N</w:t>
      </w:r>
      <w:r w:rsidR="00D85A56" w:rsidRPr="000E66C5">
        <w:rPr>
          <w:rFonts w:cs="Arial"/>
          <w:color w:val="333333"/>
          <w:highlight w:val="lightGray"/>
        </w:rPr>
        <w:t>ame</w:t>
      </w:r>
      <w:r w:rsidR="00D85A56" w:rsidRPr="000E66C5">
        <w:rPr>
          <w:rFonts w:cs="Arial"/>
          <w:color w:val="333333"/>
        </w:rPr>
        <w:t>]</w:t>
      </w:r>
    </w:p>
    <w:p w14:paraId="58629039" w14:textId="0F3A79CB" w:rsidR="00D85A56" w:rsidRPr="000E66C5" w:rsidRDefault="00D85A56" w:rsidP="00B41EA5">
      <w:pPr>
        <w:spacing w:line="240" w:lineRule="auto"/>
        <w:rPr>
          <w:rFonts w:cs="Arial"/>
          <w:color w:val="333333"/>
        </w:rPr>
      </w:pPr>
      <w:r w:rsidRPr="000E66C5">
        <w:rPr>
          <w:rFonts w:cs="Arial"/>
          <w:color w:val="333333"/>
        </w:rPr>
        <w:t>DOB</w:t>
      </w:r>
      <w:r w:rsidR="00880345" w:rsidRPr="000E66C5">
        <w:rPr>
          <w:rFonts w:cs="Arial"/>
          <w:color w:val="333333"/>
        </w:rPr>
        <w:t>: [</w:t>
      </w:r>
      <w:r w:rsidR="00880345" w:rsidRPr="000E66C5">
        <w:rPr>
          <w:rFonts w:cs="Arial"/>
          <w:color w:val="333333"/>
          <w:highlight w:val="lightGray"/>
        </w:rPr>
        <w:t>xx-xx-xx</w:t>
      </w:r>
      <w:r w:rsidRPr="000E66C5">
        <w:rPr>
          <w:rFonts w:cs="Arial"/>
          <w:color w:val="333333"/>
        </w:rPr>
        <w:t>]</w:t>
      </w:r>
    </w:p>
    <w:p w14:paraId="43123C26" w14:textId="4D37BBE4" w:rsidR="00B63F9F" w:rsidRPr="000E66C5" w:rsidRDefault="00220613" w:rsidP="00B41EA5">
      <w:pPr>
        <w:spacing w:line="240" w:lineRule="auto"/>
        <w:rPr>
          <w:rFonts w:cs="Arial"/>
          <w:color w:val="333333"/>
        </w:rPr>
      </w:pPr>
      <w:r w:rsidRPr="000E66C5">
        <w:rPr>
          <w:rFonts w:cs="Arial"/>
          <w:color w:val="333333"/>
        </w:rPr>
        <w:t>Insurance ID#</w:t>
      </w:r>
      <w:r w:rsidR="00021C10" w:rsidRPr="000E66C5">
        <w:rPr>
          <w:rFonts w:cs="Arial"/>
          <w:color w:val="333333"/>
        </w:rPr>
        <w:t>:</w:t>
      </w:r>
      <w:r w:rsidR="00B63F9F" w:rsidRPr="000E66C5">
        <w:rPr>
          <w:rFonts w:cs="Arial"/>
          <w:color w:val="333333"/>
        </w:rPr>
        <w:t xml:space="preserve"> [</w:t>
      </w:r>
      <w:r w:rsidR="00B63F9F" w:rsidRPr="000E66C5">
        <w:rPr>
          <w:rFonts w:cs="Arial"/>
          <w:color w:val="333333"/>
          <w:highlight w:val="lightGray"/>
        </w:rPr>
        <w:t>xxx</w:t>
      </w:r>
      <w:r w:rsidR="00880345" w:rsidRPr="000E66C5">
        <w:rPr>
          <w:rFonts w:cs="Arial"/>
          <w:color w:val="333333"/>
          <w:highlight w:val="lightGray"/>
        </w:rPr>
        <w:t>x</w:t>
      </w:r>
      <w:r w:rsidR="00B63F9F" w:rsidRPr="000E66C5">
        <w:rPr>
          <w:rFonts w:cs="Arial"/>
          <w:color w:val="333333"/>
        </w:rPr>
        <w:t>]</w:t>
      </w:r>
    </w:p>
    <w:p w14:paraId="67DE55BC" w14:textId="6E300725" w:rsidR="00220613" w:rsidRPr="000E66C5" w:rsidRDefault="00220613" w:rsidP="00B41EA5">
      <w:pPr>
        <w:spacing w:line="240" w:lineRule="auto"/>
        <w:rPr>
          <w:rFonts w:cs="Arial"/>
          <w:color w:val="333333"/>
        </w:rPr>
      </w:pPr>
      <w:r w:rsidRPr="000E66C5">
        <w:rPr>
          <w:rFonts w:cs="Arial"/>
          <w:color w:val="333333"/>
        </w:rPr>
        <w:t>Group#</w:t>
      </w:r>
      <w:r w:rsidR="00021C10" w:rsidRPr="000E66C5">
        <w:rPr>
          <w:rFonts w:cs="Arial"/>
          <w:color w:val="333333"/>
        </w:rPr>
        <w:t>:</w:t>
      </w:r>
      <w:r w:rsidR="00B63F9F" w:rsidRPr="000E66C5">
        <w:rPr>
          <w:rFonts w:cs="Arial"/>
          <w:color w:val="333333"/>
        </w:rPr>
        <w:t xml:space="preserve"> [</w:t>
      </w:r>
      <w:r w:rsidR="00B63F9F" w:rsidRPr="000E66C5">
        <w:rPr>
          <w:rFonts w:cs="Arial"/>
          <w:color w:val="333333"/>
          <w:highlight w:val="lightGray"/>
        </w:rPr>
        <w:t>xxx</w:t>
      </w:r>
      <w:r w:rsidR="00880345" w:rsidRPr="000E66C5">
        <w:rPr>
          <w:rFonts w:cs="Arial"/>
          <w:color w:val="333333"/>
          <w:highlight w:val="lightGray"/>
        </w:rPr>
        <w:t>x</w:t>
      </w:r>
      <w:r w:rsidRPr="000E66C5">
        <w:rPr>
          <w:rFonts w:cs="Arial"/>
          <w:color w:val="333333"/>
        </w:rPr>
        <w:t>]</w:t>
      </w:r>
    </w:p>
    <w:p w14:paraId="545C89AA" w14:textId="074C35BB" w:rsidR="00220613" w:rsidRPr="000E66C5" w:rsidRDefault="00220613" w:rsidP="00B41EA5">
      <w:pPr>
        <w:spacing w:line="240" w:lineRule="auto"/>
        <w:rPr>
          <w:rFonts w:cs="Arial"/>
          <w:color w:val="333333"/>
        </w:rPr>
      </w:pPr>
      <w:r w:rsidRPr="000E66C5">
        <w:rPr>
          <w:rFonts w:cs="Arial"/>
          <w:color w:val="333333"/>
        </w:rPr>
        <w:t>Date of Service</w:t>
      </w:r>
      <w:r w:rsidR="00B63F9F" w:rsidRPr="000E66C5">
        <w:rPr>
          <w:rFonts w:cs="Arial"/>
          <w:color w:val="333333"/>
        </w:rPr>
        <w:t>: [</w:t>
      </w:r>
      <w:r w:rsidR="00B63F9F" w:rsidRPr="000E66C5">
        <w:rPr>
          <w:rFonts w:cs="Arial"/>
          <w:color w:val="333333"/>
          <w:highlight w:val="lightGray"/>
        </w:rPr>
        <w:t>XX-XX-XX</w:t>
      </w:r>
      <w:r w:rsidRPr="000E66C5">
        <w:rPr>
          <w:rFonts w:cs="Arial"/>
          <w:color w:val="333333"/>
        </w:rPr>
        <w:t>]</w:t>
      </w:r>
    </w:p>
    <w:p w14:paraId="76FFC698" w14:textId="5AE5243D" w:rsidR="008928D1" w:rsidRPr="000E66C5" w:rsidRDefault="00165358" w:rsidP="00B41EA5">
      <w:pPr>
        <w:spacing w:line="240" w:lineRule="auto"/>
      </w:pPr>
      <w:r w:rsidRPr="000E66C5">
        <w:rPr>
          <w:rFonts w:cs="Arial"/>
          <w:color w:val="333333"/>
        </w:rPr>
        <w:t>To Whom i</w:t>
      </w:r>
      <w:r w:rsidR="00E5009B" w:rsidRPr="000E66C5">
        <w:rPr>
          <w:rFonts w:cs="Arial"/>
          <w:color w:val="333333"/>
        </w:rPr>
        <w:t>t</w:t>
      </w:r>
      <w:r w:rsidRPr="000E66C5">
        <w:rPr>
          <w:rFonts w:cs="Arial"/>
          <w:color w:val="333333"/>
        </w:rPr>
        <w:t xml:space="preserve"> may concern</w:t>
      </w:r>
      <w:r w:rsidR="00B63F9F" w:rsidRPr="000E66C5">
        <w:rPr>
          <w:rFonts w:cs="Arial"/>
          <w:color w:val="333333"/>
        </w:rPr>
        <w:t>,</w:t>
      </w:r>
      <w:r w:rsidR="008928D1" w:rsidRPr="000E66C5">
        <w:rPr>
          <w:rFonts w:cs="Arial"/>
          <w:color w:val="333333"/>
        </w:rPr>
        <w:t xml:space="preserve"> </w:t>
      </w:r>
    </w:p>
    <w:p w14:paraId="4EB0ADA9" w14:textId="6073BC1B" w:rsidR="00797A0F" w:rsidRDefault="008E77FE" w:rsidP="00B41EA5">
      <w:pPr>
        <w:autoSpaceDE w:val="0"/>
        <w:autoSpaceDN w:val="0"/>
        <w:adjustRightInd w:val="0"/>
        <w:spacing w:after="0" w:line="240" w:lineRule="auto"/>
      </w:pPr>
      <w:r w:rsidRPr="000E66C5">
        <w:rPr>
          <w:rFonts w:cs="Arial"/>
        </w:rPr>
        <w:t xml:space="preserve">This is an appeal </w:t>
      </w:r>
      <w:r w:rsidR="00C9264A" w:rsidRPr="000E66C5">
        <w:rPr>
          <w:rFonts w:cs="Arial"/>
        </w:rPr>
        <w:t>for the</w:t>
      </w:r>
      <w:r w:rsidRPr="000E66C5">
        <w:rPr>
          <w:rFonts w:cs="Arial"/>
        </w:rPr>
        <w:t xml:space="preserve"> </w:t>
      </w:r>
      <w:r w:rsidR="00921B0A" w:rsidRPr="000E66C5">
        <w:rPr>
          <w:rFonts w:cs="Arial"/>
        </w:rPr>
        <w:t xml:space="preserve">inappropriate </w:t>
      </w:r>
      <w:r w:rsidRPr="000E66C5">
        <w:rPr>
          <w:rFonts w:cs="Arial"/>
        </w:rPr>
        <w:t xml:space="preserve">denial </w:t>
      </w:r>
      <w:r w:rsidR="0009627F" w:rsidRPr="000E66C5">
        <w:rPr>
          <w:rFonts w:cs="Arial"/>
        </w:rPr>
        <w:t>of</w:t>
      </w:r>
      <w:r w:rsidR="004A3B00" w:rsidRPr="000E66C5">
        <w:rPr>
          <w:rFonts w:cs="Arial"/>
        </w:rPr>
        <w:t xml:space="preserve"> </w:t>
      </w:r>
      <w:r w:rsidR="0009627F" w:rsidRPr="000E66C5">
        <w:rPr>
          <w:rFonts w:cs="Arial"/>
        </w:rPr>
        <w:t xml:space="preserve">CPT add-on code </w:t>
      </w:r>
      <w:r w:rsidR="0009627F" w:rsidRPr="0002076C">
        <w:rPr>
          <w:rFonts w:cs="Arial"/>
          <w:b/>
          <w:bCs/>
        </w:rPr>
        <w:t>29826</w:t>
      </w:r>
      <w:r w:rsidR="0009627F" w:rsidRPr="000E66C5">
        <w:rPr>
          <w:rFonts w:cs="Arial"/>
        </w:rPr>
        <w:t xml:space="preserve">, </w:t>
      </w:r>
      <w:r w:rsidR="00A46DEE" w:rsidRPr="000E66C5">
        <w:rPr>
          <w:rFonts w:cs="Arial"/>
          <w:i/>
          <w:iCs/>
        </w:rPr>
        <w:t xml:space="preserve">Arthroscopy, shoulder, surgical; </w:t>
      </w:r>
      <w:r w:rsidR="0009627F" w:rsidRPr="000E66C5">
        <w:rPr>
          <w:rFonts w:cs="Arial"/>
          <w:i/>
          <w:iCs/>
        </w:rPr>
        <w:t>decompression of subacromial space with partial</w:t>
      </w:r>
      <w:r w:rsidR="00A46DEE" w:rsidRPr="000E66C5">
        <w:rPr>
          <w:rFonts w:cs="Arial"/>
          <w:i/>
          <w:iCs/>
        </w:rPr>
        <w:t xml:space="preserve"> </w:t>
      </w:r>
      <w:r w:rsidR="0009627F" w:rsidRPr="000E66C5">
        <w:rPr>
          <w:rFonts w:cs="Arial"/>
          <w:i/>
          <w:iCs/>
        </w:rPr>
        <w:t xml:space="preserve">acromioplasty, with coracoacromial ligament (ie, arch) </w:t>
      </w:r>
      <w:r w:rsidR="0009627F" w:rsidRPr="000E66C5">
        <w:rPr>
          <w:i/>
          <w:iCs/>
        </w:rPr>
        <w:t>release, when performed (List separately in addition to code for primary procedure)</w:t>
      </w:r>
      <w:r w:rsidR="00A46DEE" w:rsidRPr="000E66C5">
        <w:rPr>
          <w:i/>
          <w:iCs/>
        </w:rPr>
        <w:t>,</w:t>
      </w:r>
      <w:r w:rsidR="00A46DEE" w:rsidRPr="000E66C5">
        <w:t xml:space="preserve"> reported in conjunction with</w:t>
      </w:r>
      <w:r w:rsidR="004C2535" w:rsidRPr="000E66C5">
        <w:t xml:space="preserve"> </w:t>
      </w:r>
      <w:r w:rsidR="00DB5626" w:rsidRPr="000E66C5">
        <w:t>c</w:t>
      </w:r>
      <w:r w:rsidR="00502B27" w:rsidRPr="000E66C5">
        <w:t>ode [</w:t>
      </w:r>
      <w:r w:rsidR="00502B27" w:rsidRPr="006D38E0">
        <w:rPr>
          <w:b/>
          <w:bCs/>
          <w:highlight w:val="lightGray"/>
        </w:rPr>
        <w:t>2</w:t>
      </w:r>
      <w:r w:rsidR="00502B27" w:rsidRPr="0002076C">
        <w:rPr>
          <w:b/>
          <w:bCs/>
          <w:highlight w:val="lightGray"/>
        </w:rPr>
        <w:t>98</w:t>
      </w:r>
      <w:r w:rsidR="00054E4A" w:rsidRPr="0002076C">
        <w:rPr>
          <w:b/>
          <w:bCs/>
          <w:highlight w:val="lightGray"/>
        </w:rPr>
        <w:t>24</w:t>
      </w:r>
      <w:r w:rsidR="00054E4A" w:rsidRPr="000E66C5">
        <w:rPr>
          <w:highlight w:val="lightGray"/>
        </w:rPr>
        <w:t xml:space="preserve">, </w:t>
      </w:r>
      <w:r w:rsidR="001F7A82" w:rsidRPr="0098747A">
        <w:rPr>
          <w:rFonts w:cs="Arial"/>
          <w:i/>
          <w:iCs/>
          <w:highlight w:val="lightGray"/>
        </w:rPr>
        <w:t xml:space="preserve">Arthroscopy, shoulder, surgical; distal claviculectomy </w:t>
      </w:r>
      <w:r w:rsidR="00263CD9" w:rsidRPr="0098747A">
        <w:rPr>
          <w:rFonts w:cs="Arial"/>
          <w:i/>
          <w:iCs/>
          <w:highlight w:val="lightGray"/>
        </w:rPr>
        <w:t>including distal articular surface</w:t>
      </w:r>
      <w:r w:rsidR="0098747A" w:rsidRPr="0098747A">
        <w:rPr>
          <w:rFonts w:cs="Arial"/>
          <w:i/>
          <w:iCs/>
          <w:highlight w:val="lightGray"/>
        </w:rPr>
        <w:t xml:space="preserve"> </w:t>
      </w:r>
      <w:r w:rsidR="00263CD9" w:rsidRPr="0098747A">
        <w:rPr>
          <w:rFonts w:cs="Arial"/>
          <w:i/>
          <w:iCs/>
          <w:highlight w:val="lightGray"/>
        </w:rPr>
        <w:t>(Mumford procedure)</w:t>
      </w:r>
      <w:r w:rsidR="0098747A" w:rsidRPr="0098747A">
        <w:rPr>
          <w:rFonts w:cs="Arial"/>
          <w:i/>
          <w:iCs/>
          <w:highlight w:val="lightGray"/>
        </w:rPr>
        <w:t xml:space="preserve">, </w:t>
      </w:r>
      <w:r w:rsidR="00502B27" w:rsidRPr="0002076C">
        <w:rPr>
          <w:b/>
          <w:bCs/>
          <w:highlight w:val="lightGray"/>
        </w:rPr>
        <w:t>2</w:t>
      </w:r>
      <w:r w:rsidR="00502B27" w:rsidRPr="0002076C">
        <w:rPr>
          <w:b/>
          <w:bCs/>
          <w:highlight w:val="lightGray"/>
        </w:rPr>
        <w:t>98</w:t>
      </w:r>
      <w:r w:rsidR="00054E4A" w:rsidRPr="0002076C">
        <w:rPr>
          <w:b/>
          <w:bCs/>
          <w:highlight w:val="lightGray"/>
        </w:rPr>
        <w:t>27</w:t>
      </w:r>
      <w:r w:rsidR="00C04CF6" w:rsidRPr="000E66C5">
        <w:rPr>
          <w:highlight w:val="lightGray"/>
        </w:rPr>
        <w:t>,</w:t>
      </w:r>
      <w:r w:rsidR="0098747A" w:rsidRPr="0002076C">
        <w:rPr>
          <w:rFonts w:cs="Arial"/>
          <w:highlight w:val="lightGray"/>
        </w:rPr>
        <w:t xml:space="preserve"> </w:t>
      </w:r>
      <w:r w:rsidR="0098747A" w:rsidRPr="0002076C">
        <w:rPr>
          <w:rFonts w:cs="Arial"/>
          <w:i/>
          <w:iCs/>
          <w:highlight w:val="lightGray"/>
        </w:rPr>
        <w:t>Arthroscopy, shoulder, surgical;</w:t>
      </w:r>
      <w:r w:rsidR="00C04CF6" w:rsidRPr="0002076C">
        <w:rPr>
          <w:highlight w:val="lightGray"/>
        </w:rPr>
        <w:t xml:space="preserve"> </w:t>
      </w:r>
      <w:r w:rsidR="00201A29" w:rsidRPr="0002076C">
        <w:rPr>
          <w:rFonts w:cs="Arial"/>
          <w:i/>
          <w:iCs/>
          <w:highlight w:val="lightGray"/>
        </w:rPr>
        <w:t>with rotator cuff repair</w:t>
      </w:r>
      <w:r w:rsidR="00201A29" w:rsidRPr="0002076C">
        <w:rPr>
          <w:rFonts w:cs="Arial"/>
          <w:i/>
          <w:iCs/>
          <w:highlight w:val="lightGray"/>
        </w:rPr>
        <w:t>,</w:t>
      </w:r>
      <w:r w:rsidR="00201A29" w:rsidRPr="0002076C">
        <w:rPr>
          <w:rFonts w:ascii="UniversLTStd-LightCn" w:hAnsi="UniversLTStd-LightCn" w:cs="UniversLTStd-LightCn"/>
          <w:sz w:val="18"/>
          <w:szCs w:val="18"/>
          <w:highlight w:val="lightGray"/>
        </w:rPr>
        <w:t xml:space="preserve"> </w:t>
      </w:r>
      <w:r w:rsidR="00C04CF6" w:rsidRPr="0002076C">
        <w:rPr>
          <w:b/>
          <w:bCs/>
          <w:highlight w:val="lightGray"/>
        </w:rPr>
        <w:t>29828</w:t>
      </w:r>
      <w:r w:rsidR="0098747A" w:rsidRPr="0002076C">
        <w:rPr>
          <w:rFonts w:cs="Arial"/>
          <w:highlight w:val="lightGray"/>
        </w:rPr>
        <w:t xml:space="preserve">, </w:t>
      </w:r>
      <w:r w:rsidR="0098747A" w:rsidRPr="0002076C">
        <w:rPr>
          <w:rFonts w:cs="Arial"/>
          <w:i/>
          <w:iCs/>
          <w:highlight w:val="lightGray"/>
        </w:rPr>
        <w:t>Arthroscopy, shoulder, surgical;</w:t>
      </w:r>
      <w:r w:rsidR="0002076C" w:rsidRPr="0002076C">
        <w:rPr>
          <w:rFonts w:cs="Arial"/>
          <w:i/>
          <w:iCs/>
          <w:highlight w:val="lightGray"/>
        </w:rPr>
        <w:t xml:space="preserve"> </w:t>
      </w:r>
      <w:r w:rsidR="0002076C" w:rsidRPr="0002076C">
        <w:rPr>
          <w:rFonts w:cs="Arial"/>
          <w:i/>
          <w:iCs/>
          <w:highlight w:val="lightGray"/>
        </w:rPr>
        <w:t>biceps tenodesis</w:t>
      </w:r>
      <w:r w:rsidR="00502B27" w:rsidRPr="000E66C5">
        <w:t>]</w:t>
      </w:r>
      <w:r w:rsidR="00C04CF6" w:rsidRPr="000E66C5">
        <w:t>.</w:t>
      </w:r>
      <w:r w:rsidR="00797A0F" w:rsidRPr="000E66C5">
        <w:t xml:space="preserve"> Denial of code 29826 is in direct conflict with AMA CPT Guidelines which designate CPT code 29826 as an add-on code that must be </w:t>
      </w:r>
      <w:r w:rsidR="00797A0F" w:rsidRPr="000E66C5">
        <w:rPr>
          <w:i/>
          <w:iCs/>
          <w:u w:val="single"/>
        </w:rPr>
        <w:t>listed separately in addition to the code for the primary procedure</w:t>
      </w:r>
      <w:r w:rsidR="00797A0F" w:rsidRPr="000E66C5">
        <w:rPr>
          <w:i/>
          <w:iCs/>
        </w:rPr>
        <w:t xml:space="preserve">. </w:t>
      </w:r>
      <w:r w:rsidR="00797A0F" w:rsidRPr="000E66C5">
        <w:t xml:space="preserve">The CPT parenthetical instruction further states that code 29826 is to be </w:t>
      </w:r>
      <w:r w:rsidR="00E07087">
        <w:t>reported</w:t>
      </w:r>
      <w:r w:rsidR="00797A0F" w:rsidRPr="000E66C5">
        <w:t xml:space="preserve"> in conjunction with codes 29806-29825, 29827, and 29828. </w:t>
      </w:r>
    </w:p>
    <w:p w14:paraId="530444FA" w14:textId="77777777" w:rsidR="00600FAF" w:rsidRPr="000E66C5" w:rsidRDefault="00600FAF" w:rsidP="00B41EA5">
      <w:pPr>
        <w:autoSpaceDE w:val="0"/>
        <w:autoSpaceDN w:val="0"/>
        <w:adjustRightInd w:val="0"/>
        <w:spacing w:after="0" w:line="240" w:lineRule="auto"/>
        <w:rPr>
          <w:i/>
          <w:iCs/>
          <w:u w:val="single"/>
        </w:rPr>
      </w:pPr>
    </w:p>
    <w:p w14:paraId="30885F1B" w14:textId="1BD4A137" w:rsidR="007B1593" w:rsidRPr="000E66C5" w:rsidRDefault="008F63BC" w:rsidP="00B41EA5">
      <w:pPr>
        <w:spacing w:after="160" w:line="240" w:lineRule="auto"/>
        <w:rPr>
          <w:i/>
          <w:iCs/>
          <w:u w:val="single"/>
        </w:rPr>
      </w:pPr>
      <w:r w:rsidRPr="000E66C5">
        <w:t xml:space="preserve">Effective January 1, 2020, </w:t>
      </w:r>
      <w:r w:rsidR="00B74E71" w:rsidRPr="000E66C5">
        <w:t>the Centers for Medicare and Medicaid Services (</w:t>
      </w:r>
      <w:r w:rsidRPr="000E66C5">
        <w:t>CMS</w:t>
      </w:r>
      <w:r w:rsidR="00B74E71" w:rsidRPr="000E66C5">
        <w:t>)</w:t>
      </w:r>
      <w:r w:rsidRPr="000E66C5">
        <w:t xml:space="preserve"> deleted language from </w:t>
      </w:r>
      <w:r w:rsidR="00B74E71" w:rsidRPr="000E66C5">
        <w:t>the National Correct Coding Initiative (</w:t>
      </w:r>
      <w:r w:rsidRPr="000E66C5">
        <w:t>NCCI</w:t>
      </w:r>
      <w:r w:rsidR="00B74E71" w:rsidRPr="000E66C5">
        <w:t>)</w:t>
      </w:r>
      <w:r w:rsidRPr="000E66C5">
        <w:t xml:space="preserve"> Policy Manual which </w:t>
      </w:r>
      <w:r w:rsidR="00E16860" w:rsidRPr="000E66C5">
        <w:t xml:space="preserve">previously </w:t>
      </w:r>
      <w:r w:rsidRPr="000E66C5">
        <w:t xml:space="preserve">stated that the shoulder is a single anatomic structure. </w:t>
      </w:r>
      <w:r w:rsidR="007B1593" w:rsidRPr="000E66C5">
        <w:t xml:space="preserve">There are no existing NCCI edits in place for these code pairs which would preclude one from reporting these codes together. </w:t>
      </w:r>
    </w:p>
    <w:p w14:paraId="6629FEE4" w14:textId="0CEC131F" w:rsidR="00AE684F" w:rsidRPr="00AE684F" w:rsidRDefault="00D40B59" w:rsidP="00B41EA5">
      <w:pPr>
        <w:spacing w:after="5" w:line="240" w:lineRule="auto"/>
        <w:ind w:left="-5" w:hanging="10"/>
      </w:pPr>
      <w:r>
        <w:t>T</w:t>
      </w:r>
      <w:r w:rsidR="00AE684F" w:rsidRPr="00AE684F">
        <w:t>he shoulder should be recognized as four anatomic areas</w:t>
      </w:r>
      <w:r w:rsidR="00600FAF">
        <w:t>:</w:t>
      </w:r>
      <w:r w:rsidR="00AE684F" w:rsidRPr="00AE684F">
        <w:t> glenohumeral, acromioclavicular, sternoclavicular and the bursal space. Approaches to each of these spaces is unique and different excisions are required to access each space. These are identifiable with unique ICD10 codes and corresponding CPT codes.  </w:t>
      </w:r>
      <w:r w:rsidR="00D92B8B">
        <w:t>T</w:t>
      </w:r>
      <w:r w:rsidR="00D92B8B" w:rsidRPr="000E66C5">
        <w:t>he American Academy of Orthopaedic Surgeons Global Service Data Guide for Orthopaedic Surgery (GSD) states specifically that codes 29824, 29826, 29827</w:t>
      </w:r>
      <w:r w:rsidR="006D38E0">
        <w:t>, and 29828</w:t>
      </w:r>
      <w:r w:rsidR="00D92B8B" w:rsidRPr="000E66C5">
        <w:t xml:space="preserve"> are separately reportable (attached).</w:t>
      </w:r>
    </w:p>
    <w:p w14:paraId="30A1A4AA" w14:textId="77777777" w:rsidR="00AE684F" w:rsidRDefault="00AE684F" w:rsidP="00B41EA5">
      <w:pPr>
        <w:spacing w:after="5" w:line="240" w:lineRule="auto"/>
        <w:ind w:left="-5" w:hanging="10"/>
        <w:rPr>
          <w:rStyle w:val="eop"/>
          <w:rFonts w:ascii="Calibri" w:hAnsi="Calibri" w:cs="Calibri"/>
          <w:color w:val="000000"/>
          <w:sz w:val="28"/>
          <w:szCs w:val="28"/>
          <w:shd w:val="clear" w:color="auto" w:fill="FFFFFF"/>
        </w:rPr>
      </w:pPr>
    </w:p>
    <w:p w14:paraId="0F19F270" w14:textId="7424536E" w:rsidR="000A5ABA" w:rsidRPr="000E66C5" w:rsidRDefault="00A56015" w:rsidP="00B41EA5">
      <w:pPr>
        <w:spacing w:after="5" w:line="240" w:lineRule="auto"/>
        <w:ind w:left="-5" w:hanging="10"/>
      </w:pPr>
      <w:r w:rsidRPr="000E66C5">
        <w:rPr>
          <w:rFonts w:cs="Arial"/>
        </w:rPr>
        <w:t xml:space="preserve">As the ultimate advocate for our patients, we must insist that the </w:t>
      </w:r>
      <w:r w:rsidR="00070963" w:rsidRPr="000E66C5">
        <w:rPr>
          <w:rFonts w:cs="Arial"/>
        </w:rPr>
        <w:t>surgical treatment</w:t>
      </w:r>
      <w:r w:rsidRPr="000E66C5">
        <w:rPr>
          <w:rFonts w:cs="Arial"/>
        </w:rPr>
        <w:t xml:space="preserve"> decision is left in the hands of the physician, as intended by Medicare.</w:t>
      </w:r>
      <w:r w:rsidRPr="000E66C5">
        <w:rPr>
          <w:rFonts w:cs="Arial"/>
          <w:i/>
        </w:rPr>
        <w:t xml:space="preserve"> </w:t>
      </w:r>
      <w:r w:rsidR="0008567C" w:rsidRPr="000E66C5">
        <w:rPr>
          <w:rFonts w:cs="Arial"/>
        </w:rPr>
        <w:t xml:space="preserve">Therefore, </w:t>
      </w:r>
      <w:r w:rsidR="00FD34A1" w:rsidRPr="000E66C5">
        <w:rPr>
          <w:rFonts w:cs="Arial"/>
        </w:rPr>
        <w:t xml:space="preserve">since CMS </w:t>
      </w:r>
      <w:r w:rsidR="00DC74D8" w:rsidRPr="000E66C5">
        <w:rPr>
          <w:rFonts w:cs="Arial"/>
        </w:rPr>
        <w:t xml:space="preserve">recognizes the shoulder </w:t>
      </w:r>
      <w:r w:rsidR="000E66C5" w:rsidRPr="000E66C5">
        <w:rPr>
          <w:rFonts w:cs="Arial"/>
        </w:rPr>
        <w:t xml:space="preserve">as more than a single anatomic structure, </w:t>
      </w:r>
      <w:r w:rsidR="00013C97">
        <w:rPr>
          <w:rFonts w:cs="Arial"/>
        </w:rPr>
        <w:t>as well as the fact that</w:t>
      </w:r>
      <w:r w:rsidR="000E66C5" w:rsidRPr="000E66C5">
        <w:rPr>
          <w:rFonts w:cs="Arial"/>
        </w:rPr>
        <w:t xml:space="preserve"> NCCI and CPT guidelines </w:t>
      </w:r>
      <w:r w:rsidR="00FD34A1" w:rsidRPr="000E66C5">
        <w:rPr>
          <w:rFonts w:cs="Arial"/>
        </w:rPr>
        <w:t xml:space="preserve">allow </w:t>
      </w:r>
      <w:r w:rsidR="00376EC3" w:rsidRPr="000E66C5">
        <w:rPr>
          <w:rFonts w:cs="Arial"/>
        </w:rPr>
        <w:t>these</w:t>
      </w:r>
      <w:r w:rsidR="00FD34A1" w:rsidRPr="000E66C5">
        <w:rPr>
          <w:rFonts w:cs="Arial"/>
        </w:rPr>
        <w:t xml:space="preserve"> procedures to be performed and reimbursed </w:t>
      </w:r>
      <w:r w:rsidR="004014DB" w:rsidRPr="000E66C5">
        <w:rPr>
          <w:rFonts w:cs="Arial"/>
        </w:rPr>
        <w:t xml:space="preserve">when performed </w:t>
      </w:r>
      <w:r w:rsidR="00376EC3" w:rsidRPr="000E66C5">
        <w:rPr>
          <w:rFonts w:cs="Arial"/>
        </w:rPr>
        <w:t>in the same shoulder</w:t>
      </w:r>
      <w:r w:rsidR="004014DB" w:rsidRPr="000E66C5">
        <w:rPr>
          <w:rFonts w:cs="Arial"/>
        </w:rPr>
        <w:t xml:space="preserve">, </w:t>
      </w:r>
      <w:r w:rsidR="0008567C" w:rsidRPr="000E66C5">
        <w:rPr>
          <w:rFonts w:cs="Arial"/>
        </w:rPr>
        <w:t xml:space="preserve">we request a reprocessing of this claim in order to obtain the accurate reimbursement </w:t>
      </w:r>
      <w:r w:rsidR="00495DEE" w:rsidRPr="000E66C5">
        <w:rPr>
          <w:rFonts w:cs="Arial"/>
        </w:rPr>
        <w:t xml:space="preserve">due </w:t>
      </w:r>
      <w:r w:rsidR="00ED1CC1" w:rsidRPr="000E66C5">
        <w:rPr>
          <w:rFonts w:cs="Arial"/>
        </w:rPr>
        <w:t xml:space="preserve">for performing </w:t>
      </w:r>
      <w:r w:rsidR="00376EC3" w:rsidRPr="000E66C5">
        <w:rPr>
          <w:rFonts w:cs="Arial"/>
        </w:rPr>
        <w:t>the procedures</w:t>
      </w:r>
      <w:r w:rsidR="00ED1CC1" w:rsidRPr="000E66C5">
        <w:rPr>
          <w:rFonts w:cs="Arial"/>
        </w:rPr>
        <w:t xml:space="preserve"> </w:t>
      </w:r>
      <w:r w:rsidR="00137F69" w:rsidRPr="000E66C5">
        <w:rPr>
          <w:rFonts w:cs="Arial"/>
        </w:rPr>
        <w:t>for th</w:t>
      </w:r>
      <w:r w:rsidR="00E75BFF" w:rsidRPr="000E66C5">
        <w:rPr>
          <w:rFonts w:cs="Arial"/>
        </w:rPr>
        <w:t>is</w:t>
      </w:r>
      <w:r w:rsidR="00137F69" w:rsidRPr="000E66C5">
        <w:rPr>
          <w:rFonts w:cs="Arial"/>
        </w:rPr>
        <w:t xml:space="preserve"> patient on the date listed above. </w:t>
      </w:r>
    </w:p>
    <w:p w14:paraId="4AD89CC3" w14:textId="6A27171D" w:rsidR="00C321D5" w:rsidRPr="000E66C5" w:rsidRDefault="00C321D5" w:rsidP="00B41EA5">
      <w:pPr>
        <w:spacing w:line="240" w:lineRule="auto"/>
      </w:pPr>
    </w:p>
    <w:p w14:paraId="781D5623" w14:textId="0977BA5D" w:rsidR="00C21B59" w:rsidRPr="000E66C5" w:rsidRDefault="0074163E" w:rsidP="00B41EA5">
      <w:pPr>
        <w:spacing w:line="240" w:lineRule="auto"/>
        <w:rPr>
          <w:rFonts w:cs="Arial"/>
        </w:rPr>
      </w:pPr>
      <w:r w:rsidRPr="000E66C5">
        <w:rPr>
          <w:rFonts w:cs="Arial"/>
        </w:rPr>
        <w:t>Sincerely,</w:t>
      </w:r>
      <w:r w:rsidR="008928D1" w:rsidRPr="000E66C5">
        <w:rPr>
          <w:rFonts w:cs="Arial"/>
        </w:rPr>
        <w:t xml:space="preserve"> </w:t>
      </w:r>
    </w:p>
    <w:p w14:paraId="4682A104" w14:textId="750B730B" w:rsidR="00C21B59" w:rsidRPr="000E66C5" w:rsidRDefault="00C21B59" w:rsidP="00B41EA5">
      <w:pPr>
        <w:spacing w:line="240" w:lineRule="auto"/>
        <w:rPr>
          <w:rFonts w:cs="Arial"/>
        </w:rPr>
      </w:pPr>
    </w:p>
    <w:sectPr w:rsidR="00C21B59" w:rsidRPr="000E66C5" w:rsidSect="00B572E7">
      <w:headerReference w:type="default" r:id="rId11"/>
      <w:footerReference w:type="default" r:id="rId12"/>
      <w:type w:val="continuous"/>
      <w:pgSz w:w="12240" w:h="15840"/>
      <w:pgMar w:top="2160" w:right="810" w:bottom="1980" w:left="360" w:header="720" w:footer="720" w:gutter="0"/>
      <w:cols w:space="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F43B6" w14:textId="77777777" w:rsidR="00DB741B" w:rsidRDefault="00DB741B" w:rsidP="00044B10">
      <w:pPr>
        <w:spacing w:after="0" w:line="240" w:lineRule="auto"/>
      </w:pPr>
      <w:r>
        <w:separator/>
      </w:r>
    </w:p>
  </w:endnote>
  <w:endnote w:type="continuationSeparator" w:id="0">
    <w:p w14:paraId="446CAA18" w14:textId="77777777" w:rsidR="00DB741B" w:rsidRDefault="00DB741B" w:rsidP="0004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LTStd-Light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375242"/>
      <w:docPartObj>
        <w:docPartGallery w:val="Page Numbers (Bottom of Page)"/>
        <w:docPartUnique/>
      </w:docPartObj>
    </w:sdtPr>
    <w:sdtEndPr>
      <w:rPr>
        <w:noProof/>
      </w:rPr>
    </w:sdtEndPr>
    <w:sdtContent>
      <w:p w14:paraId="277045A7" w14:textId="6A820DAF" w:rsidR="00EE55D2" w:rsidRDefault="00EE55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158B15" w14:textId="77777777" w:rsidR="009902A1" w:rsidRDefault="00990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B8905" w14:textId="77777777" w:rsidR="00DB741B" w:rsidRDefault="00DB741B" w:rsidP="00044B10">
      <w:pPr>
        <w:spacing w:after="0" w:line="240" w:lineRule="auto"/>
      </w:pPr>
      <w:r>
        <w:separator/>
      </w:r>
    </w:p>
  </w:footnote>
  <w:footnote w:type="continuationSeparator" w:id="0">
    <w:p w14:paraId="516178CE" w14:textId="77777777" w:rsidR="00DB741B" w:rsidRDefault="00DB741B" w:rsidP="0004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460F8" w14:textId="484DC716" w:rsidR="002039C8" w:rsidRDefault="000712A4">
    <w:pPr>
      <w:pStyle w:val="Header"/>
    </w:pPr>
    <w:sdt>
      <w:sdtPr>
        <w:id w:val="-669101961"/>
        <w:docPartObj>
          <w:docPartGallery w:val="Page Numbers (Margins)"/>
          <w:docPartUnique/>
        </w:docPartObj>
      </w:sdtPr>
      <w:sdtEndPr/>
      <w:sdtContent>
        <w:r w:rsidR="00AF76CD">
          <w:rPr>
            <w:noProof/>
          </w:rPr>
          <mc:AlternateContent>
            <mc:Choice Requires="wps">
              <w:drawing>
                <wp:anchor distT="0" distB="0" distL="114300" distR="114300" simplePos="0" relativeHeight="251657728" behindDoc="0" locked="0" layoutInCell="0" allowOverlap="1" wp14:anchorId="7AA0C80B" wp14:editId="59E08C44">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45A9" w14:textId="46E485D7" w:rsidR="00AF76CD" w:rsidRDefault="00AF76CD">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A0C80B" id="Rectangle 1" o:spid="_x0000_s1026" style="position:absolute;margin-left:0;margin-top:0;width:40.2pt;height:171.9pt;z-index:25165772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052745A9" w14:textId="46E485D7" w:rsidR="00AF76CD" w:rsidRDefault="00AF76CD">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2039C8">
      <w:rPr>
        <w:noProof/>
      </w:rPr>
      <w:drawing>
        <wp:anchor distT="0" distB="0" distL="114300" distR="114300" simplePos="0" relativeHeight="251656704" behindDoc="0" locked="0" layoutInCell="1" allowOverlap="1" wp14:anchorId="6845447B" wp14:editId="4460FEC5">
          <wp:simplePos x="0" y="0"/>
          <wp:positionH relativeFrom="column">
            <wp:posOffset>-351155</wp:posOffset>
          </wp:positionH>
          <wp:positionV relativeFrom="paragraph">
            <wp:posOffset>-590257</wp:posOffset>
          </wp:positionV>
          <wp:extent cx="8037576" cy="10332720"/>
          <wp:effectExtent l="0" t="0" r="1905" b="0"/>
          <wp:wrapNone/>
          <wp:docPr id="2" name="Picture 2" descr="C:\Users\copycenter\Desktop\AAOS_Rosemont_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pycenter\Desktop\AAOS_Rosemont_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7576" cy="10332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97F7A"/>
    <w:multiLevelType w:val="hybridMultilevel"/>
    <w:tmpl w:val="713C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A3606C"/>
    <w:multiLevelType w:val="hybridMultilevel"/>
    <w:tmpl w:val="45DC8C4A"/>
    <w:lvl w:ilvl="0" w:tplc="6D4C5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0793F"/>
    <w:multiLevelType w:val="hybridMultilevel"/>
    <w:tmpl w:val="25EA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7C81"/>
    <w:multiLevelType w:val="hybridMultilevel"/>
    <w:tmpl w:val="489C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B6E8F"/>
    <w:multiLevelType w:val="hybridMultilevel"/>
    <w:tmpl w:val="B802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37BA3"/>
    <w:multiLevelType w:val="hybridMultilevel"/>
    <w:tmpl w:val="45DC8C4A"/>
    <w:lvl w:ilvl="0" w:tplc="6D4C5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9E44E6"/>
    <w:multiLevelType w:val="hybridMultilevel"/>
    <w:tmpl w:val="45DC8C4A"/>
    <w:lvl w:ilvl="0" w:tplc="6D4C5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8547F"/>
    <w:multiLevelType w:val="hybridMultilevel"/>
    <w:tmpl w:val="81A28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10"/>
    <w:rsid w:val="000009B7"/>
    <w:rsid w:val="00013C97"/>
    <w:rsid w:val="0002076C"/>
    <w:rsid w:val="00021C10"/>
    <w:rsid w:val="00027DA6"/>
    <w:rsid w:val="00036EFF"/>
    <w:rsid w:val="00044B10"/>
    <w:rsid w:val="00054E4A"/>
    <w:rsid w:val="00066C98"/>
    <w:rsid w:val="00070963"/>
    <w:rsid w:val="000712A4"/>
    <w:rsid w:val="0008567C"/>
    <w:rsid w:val="0009366B"/>
    <w:rsid w:val="0009627F"/>
    <w:rsid w:val="000A1CF1"/>
    <w:rsid w:val="000A5ABA"/>
    <w:rsid w:val="000C6003"/>
    <w:rsid w:val="000E66C5"/>
    <w:rsid w:val="000E7C0E"/>
    <w:rsid w:val="000F43EA"/>
    <w:rsid w:val="00106C61"/>
    <w:rsid w:val="00137F69"/>
    <w:rsid w:val="00142FA5"/>
    <w:rsid w:val="00152929"/>
    <w:rsid w:val="00155284"/>
    <w:rsid w:val="00157F3D"/>
    <w:rsid w:val="0016163B"/>
    <w:rsid w:val="00165358"/>
    <w:rsid w:val="001D0FA7"/>
    <w:rsid w:val="001F7A82"/>
    <w:rsid w:val="00201A29"/>
    <w:rsid w:val="002039C8"/>
    <w:rsid w:val="0021559E"/>
    <w:rsid w:val="00220613"/>
    <w:rsid w:val="0025780E"/>
    <w:rsid w:val="00260FEB"/>
    <w:rsid w:val="00263CD9"/>
    <w:rsid w:val="00280C1B"/>
    <w:rsid w:val="002B2D4A"/>
    <w:rsid w:val="002D36A6"/>
    <w:rsid w:val="002D38A9"/>
    <w:rsid w:val="002D588D"/>
    <w:rsid w:val="002E1028"/>
    <w:rsid w:val="002E3172"/>
    <w:rsid w:val="002F2845"/>
    <w:rsid w:val="0030300C"/>
    <w:rsid w:val="0030312F"/>
    <w:rsid w:val="00304249"/>
    <w:rsid w:val="00305AB8"/>
    <w:rsid w:val="0032040D"/>
    <w:rsid w:val="003231FA"/>
    <w:rsid w:val="00323E04"/>
    <w:rsid w:val="0034070C"/>
    <w:rsid w:val="00376EC3"/>
    <w:rsid w:val="003918EC"/>
    <w:rsid w:val="0039759C"/>
    <w:rsid w:val="003C2B20"/>
    <w:rsid w:val="003C3075"/>
    <w:rsid w:val="003D63A7"/>
    <w:rsid w:val="004014DB"/>
    <w:rsid w:val="00404936"/>
    <w:rsid w:val="00407123"/>
    <w:rsid w:val="00416A28"/>
    <w:rsid w:val="0043243E"/>
    <w:rsid w:val="00455594"/>
    <w:rsid w:val="00495DEE"/>
    <w:rsid w:val="004A0001"/>
    <w:rsid w:val="004A3B00"/>
    <w:rsid w:val="004C2535"/>
    <w:rsid w:val="004D0E54"/>
    <w:rsid w:val="004D630B"/>
    <w:rsid w:val="004E4B6B"/>
    <w:rsid w:val="004E710F"/>
    <w:rsid w:val="00502B27"/>
    <w:rsid w:val="0050307B"/>
    <w:rsid w:val="005212D5"/>
    <w:rsid w:val="005515D9"/>
    <w:rsid w:val="00564819"/>
    <w:rsid w:val="005C34E6"/>
    <w:rsid w:val="005D0B39"/>
    <w:rsid w:val="005D5FC4"/>
    <w:rsid w:val="005E7758"/>
    <w:rsid w:val="00600FAF"/>
    <w:rsid w:val="006060F8"/>
    <w:rsid w:val="00612060"/>
    <w:rsid w:val="00636650"/>
    <w:rsid w:val="00680079"/>
    <w:rsid w:val="00680D2C"/>
    <w:rsid w:val="00693076"/>
    <w:rsid w:val="006A1F97"/>
    <w:rsid w:val="006B1381"/>
    <w:rsid w:val="006B7C3D"/>
    <w:rsid w:val="006C49B1"/>
    <w:rsid w:val="006D38E0"/>
    <w:rsid w:val="006D6CE1"/>
    <w:rsid w:val="00707A71"/>
    <w:rsid w:val="007356AF"/>
    <w:rsid w:val="0074163E"/>
    <w:rsid w:val="0074694F"/>
    <w:rsid w:val="0079018B"/>
    <w:rsid w:val="00797A0F"/>
    <w:rsid w:val="007B093D"/>
    <w:rsid w:val="007B1593"/>
    <w:rsid w:val="007D2DD4"/>
    <w:rsid w:val="007D70F5"/>
    <w:rsid w:val="007E17B4"/>
    <w:rsid w:val="007F47E9"/>
    <w:rsid w:val="0080387A"/>
    <w:rsid w:val="008110FD"/>
    <w:rsid w:val="00820BBE"/>
    <w:rsid w:val="00833F0C"/>
    <w:rsid w:val="00880345"/>
    <w:rsid w:val="008928D1"/>
    <w:rsid w:val="008D5AFE"/>
    <w:rsid w:val="008E77FE"/>
    <w:rsid w:val="008F63BC"/>
    <w:rsid w:val="009054E0"/>
    <w:rsid w:val="009079DC"/>
    <w:rsid w:val="00921B0A"/>
    <w:rsid w:val="00935BDE"/>
    <w:rsid w:val="009470F5"/>
    <w:rsid w:val="009545E0"/>
    <w:rsid w:val="009739A1"/>
    <w:rsid w:val="0098747A"/>
    <w:rsid w:val="009902A1"/>
    <w:rsid w:val="009C0200"/>
    <w:rsid w:val="009D2B03"/>
    <w:rsid w:val="00A04A68"/>
    <w:rsid w:val="00A1443B"/>
    <w:rsid w:val="00A2427B"/>
    <w:rsid w:val="00A46DEE"/>
    <w:rsid w:val="00A545C6"/>
    <w:rsid w:val="00A56015"/>
    <w:rsid w:val="00A57D9D"/>
    <w:rsid w:val="00A64587"/>
    <w:rsid w:val="00A71142"/>
    <w:rsid w:val="00A8117D"/>
    <w:rsid w:val="00AA105D"/>
    <w:rsid w:val="00AA412B"/>
    <w:rsid w:val="00AA77C1"/>
    <w:rsid w:val="00AE2C68"/>
    <w:rsid w:val="00AE684F"/>
    <w:rsid w:val="00AF3CEF"/>
    <w:rsid w:val="00AF73B6"/>
    <w:rsid w:val="00AF76CD"/>
    <w:rsid w:val="00B02F10"/>
    <w:rsid w:val="00B129B6"/>
    <w:rsid w:val="00B41EA5"/>
    <w:rsid w:val="00B55735"/>
    <w:rsid w:val="00B55E5A"/>
    <w:rsid w:val="00B572E7"/>
    <w:rsid w:val="00B610C3"/>
    <w:rsid w:val="00B63F9F"/>
    <w:rsid w:val="00B64CD0"/>
    <w:rsid w:val="00B74E71"/>
    <w:rsid w:val="00B75F18"/>
    <w:rsid w:val="00BC6005"/>
    <w:rsid w:val="00BC7C42"/>
    <w:rsid w:val="00BE2390"/>
    <w:rsid w:val="00C047EF"/>
    <w:rsid w:val="00C04CF6"/>
    <w:rsid w:val="00C105C5"/>
    <w:rsid w:val="00C21B59"/>
    <w:rsid w:val="00C321D5"/>
    <w:rsid w:val="00C81203"/>
    <w:rsid w:val="00C9264A"/>
    <w:rsid w:val="00C92FD2"/>
    <w:rsid w:val="00C970CD"/>
    <w:rsid w:val="00CA0C2D"/>
    <w:rsid w:val="00CC1813"/>
    <w:rsid w:val="00CC3FDD"/>
    <w:rsid w:val="00CD3D94"/>
    <w:rsid w:val="00CD4630"/>
    <w:rsid w:val="00D24885"/>
    <w:rsid w:val="00D40B59"/>
    <w:rsid w:val="00D420F0"/>
    <w:rsid w:val="00D7345C"/>
    <w:rsid w:val="00D77899"/>
    <w:rsid w:val="00D85A56"/>
    <w:rsid w:val="00D92B8B"/>
    <w:rsid w:val="00DA5454"/>
    <w:rsid w:val="00DB3D9B"/>
    <w:rsid w:val="00DB5626"/>
    <w:rsid w:val="00DB741B"/>
    <w:rsid w:val="00DC74D8"/>
    <w:rsid w:val="00DF46AB"/>
    <w:rsid w:val="00E05CC4"/>
    <w:rsid w:val="00E07087"/>
    <w:rsid w:val="00E072E3"/>
    <w:rsid w:val="00E1093F"/>
    <w:rsid w:val="00E16860"/>
    <w:rsid w:val="00E30106"/>
    <w:rsid w:val="00E40A92"/>
    <w:rsid w:val="00E46DB5"/>
    <w:rsid w:val="00E5009B"/>
    <w:rsid w:val="00E572C5"/>
    <w:rsid w:val="00E75BFF"/>
    <w:rsid w:val="00E92840"/>
    <w:rsid w:val="00E9549B"/>
    <w:rsid w:val="00ED1CC1"/>
    <w:rsid w:val="00ED6524"/>
    <w:rsid w:val="00EE55D2"/>
    <w:rsid w:val="00F208EE"/>
    <w:rsid w:val="00F41CCD"/>
    <w:rsid w:val="00F42553"/>
    <w:rsid w:val="00FA22D8"/>
    <w:rsid w:val="00FA5F16"/>
    <w:rsid w:val="00FB711A"/>
    <w:rsid w:val="00FD0259"/>
    <w:rsid w:val="00FD34A1"/>
    <w:rsid w:val="00FD4E14"/>
    <w:rsid w:val="00FE1CF3"/>
    <w:rsid w:val="00FF0433"/>
    <w:rsid w:val="00FF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428CF"/>
  <w15:docId w15:val="{5D0A41AE-40B6-4D64-9BD9-2EDD9922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E7"/>
  </w:style>
  <w:style w:type="paragraph" w:styleId="Heading1">
    <w:name w:val="heading 1"/>
    <w:basedOn w:val="Normal"/>
    <w:next w:val="Normal"/>
    <w:link w:val="Heading1Char"/>
    <w:uiPriority w:val="9"/>
    <w:qFormat/>
    <w:rsid w:val="0004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B1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44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B10"/>
  </w:style>
  <w:style w:type="paragraph" w:styleId="Footer">
    <w:name w:val="footer"/>
    <w:basedOn w:val="Normal"/>
    <w:link w:val="FooterChar"/>
    <w:uiPriority w:val="99"/>
    <w:unhideWhenUsed/>
    <w:rsid w:val="00044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B10"/>
  </w:style>
  <w:style w:type="paragraph" w:styleId="ListParagraph">
    <w:name w:val="List Paragraph"/>
    <w:basedOn w:val="Normal"/>
    <w:uiPriority w:val="34"/>
    <w:qFormat/>
    <w:rsid w:val="00B572E7"/>
    <w:pPr>
      <w:ind w:left="720"/>
      <w:contextualSpacing/>
    </w:pPr>
  </w:style>
  <w:style w:type="table" w:styleId="TableGrid">
    <w:name w:val="Table Grid"/>
    <w:basedOn w:val="TableNormal"/>
    <w:uiPriority w:val="59"/>
    <w:rsid w:val="00B5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6AF"/>
    <w:rPr>
      <w:rFonts w:ascii="Tahoma" w:hAnsi="Tahoma" w:cs="Tahoma"/>
      <w:sz w:val="16"/>
      <w:szCs w:val="16"/>
    </w:rPr>
  </w:style>
  <w:style w:type="character" w:styleId="Hyperlink">
    <w:name w:val="Hyperlink"/>
    <w:basedOn w:val="DefaultParagraphFont"/>
    <w:uiPriority w:val="99"/>
    <w:unhideWhenUsed/>
    <w:rsid w:val="00416A28"/>
    <w:rPr>
      <w:color w:val="0000FF" w:themeColor="hyperlink"/>
      <w:u w:val="single"/>
    </w:rPr>
  </w:style>
  <w:style w:type="character" w:styleId="CommentReference">
    <w:name w:val="annotation reference"/>
    <w:basedOn w:val="DefaultParagraphFont"/>
    <w:uiPriority w:val="99"/>
    <w:semiHidden/>
    <w:unhideWhenUsed/>
    <w:rsid w:val="00AA105D"/>
    <w:rPr>
      <w:sz w:val="16"/>
      <w:szCs w:val="16"/>
    </w:rPr>
  </w:style>
  <w:style w:type="paragraph" w:customStyle="1" w:styleId="Default">
    <w:name w:val="Default"/>
    <w:rsid w:val="00AF73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AF73B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7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684F"/>
  </w:style>
  <w:style w:type="character" w:customStyle="1" w:styleId="eop">
    <w:name w:val="eop"/>
    <w:basedOn w:val="DefaultParagraphFont"/>
    <w:rsid w:val="00AE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630133">
      <w:bodyDiv w:val="1"/>
      <w:marLeft w:val="0"/>
      <w:marRight w:val="0"/>
      <w:marTop w:val="0"/>
      <w:marBottom w:val="0"/>
      <w:divBdr>
        <w:top w:val="none" w:sz="0" w:space="0" w:color="auto"/>
        <w:left w:val="none" w:sz="0" w:space="0" w:color="auto"/>
        <w:bottom w:val="none" w:sz="0" w:space="0" w:color="auto"/>
        <w:right w:val="none" w:sz="0" w:space="0" w:color="auto"/>
      </w:divBdr>
    </w:div>
    <w:div w:id="20082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02F8761786F41B330BA86432A405B" ma:contentTypeVersion="7" ma:contentTypeDescription="Create a new document." ma:contentTypeScope="" ma:versionID="9ee2fc7b171c372a3d1bf03e44c51ea8">
  <xsd:schema xmlns:xsd="http://www.w3.org/2001/XMLSchema" xmlns:xs="http://www.w3.org/2001/XMLSchema" xmlns:p="http://schemas.microsoft.com/office/2006/metadata/properties" xmlns:ns3="c63bd9a3-045c-4e6e-bc12-8b4a9b279544" targetNamespace="http://schemas.microsoft.com/office/2006/metadata/properties" ma:root="true" ma:fieldsID="63a28b7b7809d52cb5492b4b21c6f2ce" ns3:_="">
    <xsd:import namespace="c63bd9a3-045c-4e6e-bc12-8b4a9b2795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bd9a3-045c-4e6e-bc12-8b4a9b279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35BC-1CC0-4E4B-ABC1-B90FBC91BEE9}">
  <ds:schemaRefs>
    <ds:schemaRef ds:uri="http://schemas.microsoft.com/sharepoint/v3/contenttype/forms"/>
  </ds:schemaRefs>
</ds:datastoreItem>
</file>

<file path=customXml/itemProps2.xml><?xml version="1.0" encoding="utf-8"?>
<ds:datastoreItem xmlns:ds="http://schemas.openxmlformats.org/officeDocument/2006/customXml" ds:itemID="{AE445973-77B3-4D83-BE30-5673AFC21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bd9a3-045c-4e6e-bc12-8b4a9b279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A19D2-4EFD-4F80-95BD-5EFD7888C7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7997D-DE5B-463E-9564-481BFEFD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400</Words>
  <Characters>2114</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AAOS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Copycenter</dc:creator>
  <cp:lastModifiedBy>Abraham, Michelle</cp:lastModifiedBy>
  <cp:revision>50</cp:revision>
  <cp:lastPrinted>2015-01-06T22:27:00Z</cp:lastPrinted>
  <dcterms:created xsi:type="dcterms:W3CDTF">2020-12-09T21:58:00Z</dcterms:created>
  <dcterms:modified xsi:type="dcterms:W3CDTF">2020-12-10T17:32:00Z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0x01010047502F8761786F41B330BA86432A405B</vt:lpwstr>
  </property>
</Properties>
</file>