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6E611" w14:textId="3821324A" w:rsidR="00E92840" w:rsidRDefault="00E92840" w:rsidP="00E92840">
      <w:pPr>
        <w:pBdr>
          <w:bottom w:val="single" w:sz="6" w:space="1" w:color="auto"/>
        </w:pBdr>
        <w:jc w:val="center"/>
        <w:rPr>
          <w:rFonts w:cs="Arial"/>
          <w:b/>
          <w:bCs/>
          <w:sz w:val="32"/>
          <w:szCs w:val="32"/>
        </w:rPr>
      </w:pPr>
      <w:r w:rsidRPr="00E92840">
        <w:rPr>
          <w:rFonts w:cs="Arial"/>
          <w:b/>
          <w:bCs/>
          <w:color w:val="333333"/>
          <w:sz w:val="32"/>
          <w:szCs w:val="32"/>
        </w:rPr>
        <w:t>Appeal Letter</w:t>
      </w:r>
      <w:r w:rsidR="008928D1" w:rsidRPr="00E92840">
        <w:rPr>
          <w:rFonts w:cs="Arial"/>
          <w:b/>
          <w:bCs/>
          <w:color w:val="333333"/>
          <w:sz w:val="32"/>
          <w:szCs w:val="32"/>
        </w:rPr>
        <w:t xml:space="preserve"> </w:t>
      </w:r>
      <w:r>
        <w:rPr>
          <w:rFonts w:cs="Arial"/>
          <w:b/>
          <w:bCs/>
          <w:sz w:val="32"/>
          <w:szCs w:val="32"/>
        </w:rPr>
        <w:t>T</w:t>
      </w:r>
      <w:r w:rsidRPr="00E92840">
        <w:rPr>
          <w:rFonts w:cs="Arial"/>
          <w:b/>
          <w:bCs/>
          <w:sz w:val="32"/>
          <w:szCs w:val="32"/>
        </w:rPr>
        <w:t xml:space="preserve">otal </w:t>
      </w:r>
      <w:r>
        <w:rPr>
          <w:rFonts w:cs="Arial"/>
          <w:b/>
          <w:bCs/>
          <w:sz w:val="32"/>
          <w:szCs w:val="32"/>
        </w:rPr>
        <w:t>K</w:t>
      </w:r>
      <w:r w:rsidRPr="00E92840">
        <w:rPr>
          <w:rFonts w:cs="Arial"/>
          <w:b/>
          <w:bCs/>
          <w:sz w:val="32"/>
          <w:szCs w:val="32"/>
        </w:rPr>
        <w:t xml:space="preserve">nee </w:t>
      </w:r>
      <w:r>
        <w:rPr>
          <w:rFonts w:cs="Arial"/>
          <w:b/>
          <w:bCs/>
          <w:sz w:val="32"/>
          <w:szCs w:val="32"/>
        </w:rPr>
        <w:t>A</w:t>
      </w:r>
      <w:r w:rsidRPr="00E92840">
        <w:rPr>
          <w:rFonts w:cs="Arial"/>
          <w:b/>
          <w:bCs/>
          <w:sz w:val="32"/>
          <w:szCs w:val="32"/>
        </w:rPr>
        <w:t>rthroplasty (TKA)</w:t>
      </w:r>
    </w:p>
    <w:p w14:paraId="44882873" w14:textId="388EEF3D" w:rsidR="00E92840" w:rsidRDefault="00D85A56" w:rsidP="008928D1">
      <w:pPr>
        <w:rPr>
          <w:rFonts w:cs="Arial"/>
          <w:color w:val="333333"/>
          <w:sz w:val="24"/>
          <w:szCs w:val="24"/>
        </w:rPr>
      </w:pPr>
      <w:r w:rsidRPr="00D85A56">
        <w:rPr>
          <w:rFonts w:cs="Arial"/>
          <w:color w:val="333333"/>
          <w:sz w:val="24"/>
          <w:szCs w:val="24"/>
        </w:rPr>
        <w:t>[Date]</w:t>
      </w:r>
    </w:p>
    <w:p w14:paraId="29DB367A" w14:textId="029E2A18" w:rsidR="00D85A56" w:rsidRDefault="006D6CE1" w:rsidP="008928D1">
      <w:pPr>
        <w:rPr>
          <w:rFonts w:cs="Arial"/>
          <w:color w:val="333333"/>
          <w:sz w:val="24"/>
          <w:szCs w:val="24"/>
        </w:rPr>
      </w:pPr>
      <w:r>
        <w:rPr>
          <w:rFonts w:cs="Arial"/>
          <w:color w:val="333333"/>
          <w:sz w:val="24"/>
          <w:szCs w:val="24"/>
        </w:rPr>
        <w:t xml:space="preserve">Patient: </w:t>
      </w:r>
      <w:r w:rsidR="00D85A56">
        <w:rPr>
          <w:rFonts w:cs="Arial"/>
          <w:color w:val="333333"/>
          <w:sz w:val="24"/>
          <w:szCs w:val="24"/>
        </w:rPr>
        <w:t>[</w:t>
      </w:r>
      <w:r w:rsidR="000F43EA">
        <w:rPr>
          <w:rFonts w:cs="Arial"/>
          <w:color w:val="333333"/>
          <w:sz w:val="24"/>
          <w:szCs w:val="24"/>
        </w:rPr>
        <w:t>N</w:t>
      </w:r>
      <w:r w:rsidR="00D85A56">
        <w:rPr>
          <w:rFonts w:cs="Arial"/>
          <w:color w:val="333333"/>
          <w:sz w:val="24"/>
          <w:szCs w:val="24"/>
        </w:rPr>
        <w:t>ame]</w:t>
      </w:r>
    </w:p>
    <w:p w14:paraId="58629039" w14:textId="0F3A79CB" w:rsidR="00D85A56" w:rsidRDefault="00D85A56" w:rsidP="008928D1">
      <w:pPr>
        <w:rPr>
          <w:rFonts w:cs="Arial"/>
          <w:color w:val="333333"/>
          <w:sz w:val="24"/>
          <w:szCs w:val="24"/>
        </w:rPr>
      </w:pPr>
      <w:r>
        <w:rPr>
          <w:rFonts w:cs="Arial"/>
          <w:color w:val="333333"/>
          <w:sz w:val="24"/>
          <w:szCs w:val="24"/>
        </w:rPr>
        <w:t>DOB</w:t>
      </w:r>
      <w:r w:rsidR="00880345">
        <w:rPr>
          <w:rFonts w:cs="Arial"/>
          <w:color w:val="333333"/>
          <w:sz w:val="24"/>
          <w:szCs w:val="24"/>
        </w:rPr>
        <w:t>: [xx-xx-xx</w:t>
      </w:r>
      <w:r>
        <w:rPr>
          <w:rFonts w:cs="Arial"/>
          <w:color w:val="333333"/>
          <w:sz w:val="24"/>
          <w:szCs w:val="24"/>
        </w:rPr>
        <w:t>]</w:t>
      </w:r>
    </w:p>
    <w:p w14:paraId="43123C26" w14:textId="4D37BBE4" w:rsidR="00B63F9F" w:rsidRDefault="00220613" w:rsidP="008928D1">
      <w:pPr>
        <w:rPr>
          <w:rFonts w:cs="Arial"/>
          <w:color w:val="333333"/>
          <w:sz w:val="24"/>
          <w:szCs w:val="24"/>
        </w:rPr>
      </w:pPr>
      <w:r>
        <w:rPr>
          <w:rFonts w:cs="Arial"/>
          <w:color w:val="333333"/>
          <w:sz w:val="24"/>
          <w:szCs w:val="24"/>
        </w:rPr>
        <w:t>Insurance ID#</w:t>
      </w:r>
      <w:r w:rsidR="00021C10">
        <w:rPr>
          <w:rFonts w:cs="Arial"/>
          <w:color w:val="333333"/>
          <w:sz w:val="24"/>
          <w:szCs w:val="24"/>
        </w:rPr>
        <w:t>:</w:t>
      </w:r>
      <w:r w:rsidR="00B63F9F">
        <w:rPr>
          <w:rFonts w:cs="Arial"/>
          <w:color w:val="333333"/>
          <w:sz w:val="24"/>
          <w:szCs w:val="24"/>
        </w:rPr>
        <w:t xml:space="preserve"> [</w:t>
      </w:r>
      <w:proofErr w:type="spellStart"/>
      <w:r w:rsidR="00B63F9F">
        <w:rPr>
          <w:rFonts w:cs="Arial"/>
          <w:color w:val="333333"/>
          <w:sz w:val="24"/>
          <w:szCs w:val="24"/>
        </w:rPr>
        <w:t>xxx</w:t>
      </w:r>
      <w:r w:rsidR="00880345">
        <w:rPr>
          <w:rFonts w:cs="Arial"/>
          <w:color w:val="333333"/>
          <w:sz w:val="24"/>
          <w:szCs w:val="24"/>
        </w:rPr>
        <w:t>x</w:t>
      </w:r>
      <w:proofErr w:type="spellEnd"/>
      <w:r w:rsidR="00B63F9F">
        <w:rPr>
          <w:rFonts w:cs="Arial"/>
          <w:color w:val="333333"/>
          <w:sz w:val="24"/>
          <w:szCs w:val="24"/>
        </w:rPr>
        <w:t>]</w:t>
      </w:r>
    </w:p>
    <w:p w14:paraId="67DE55BC" w14:textId="6E300725" w:rsidR="00220613" w:rsidRDefault="00220613" w:rsidP="008928D1">
      <w:pPr>
        <w:rPr>
          <w:rFonts w:cs="Arial"/>
          <w:color w:val="333333"/>
          <w:sz w:val="24"/>
          <w:szCs w:val="24"/>
        </w:rPr>
      </w:pPr>
      <w:r>
        <w:rPr>
          <w:rFonts w:cs="Arial"/>
          <w:color w:val="333333"/>
          <w:sz w:val="24"/>
          <w:szCs w:val="24"/>
        </w:rPr>
        <w:t>Group#</w:t>
      </w:r>
      <w:r w:rsidR="00021C10">
        <w:rPr>
          <w:rFonts w:cs="Arial"/>
          <w:color w:val="333333"/>
          <w:sz w:val="24"/>
          <w:szCs w:val="24"/>
        </w:rPr>
        <w:t>:</w:t>
      </w:r>
      <w:r w:rsidR="00B63F9F">
        <w:rPr>
          <w:rFonts w:cs="Arial"/>
          <w:color w:val="333333"/>
          <w:sz w:val="24"/>
          <w:szCs w:val="24"/>
        </w:rPr>
        <w:t xml:space="preserve"> [</w:t>
      </w:r>
      <w:proofErr w:type="spellStart"/>
      <w:r w:rsidR="00B63F9F">
        <w:rPr>
          <w:rFonts w:cs="Arial"/>
          <w:color w:val="333333"/>
          <w:sz w:val="24"/>
          <w:szCs w:val="24"/>
        </w:rPr>
        <w:t>xxx</w:t>
      </w:r>
      <w:r w:rsidR="00880345">
        <w:rPr>
          <w:rFonts w:cs="Arial"/>
          <w:color w:val="333333"/>
          <w:sz w:val="24"/>
          <w:szCs w:val="24"/>
        </w:rPr>
        <w:t>x</w:t>
      </w:r>
      <w:proofErr w:type="spellEnd"/>
      <w:r>
        <w:rPr>
          <w:rFonts w:cs="Arial"/>
          <w:color w:val="333333"/>
          <w:sz w:val="24"/>
          <w:szCs w:val="24"/>
        </w:rPr>
        <w:t>]</w:t>
      </w:r>
    </w:p>
    <w:p w14:paraId="545C89AA" w14:textId="074C35BB" w:rsidR="00220613" w:rsidRPr="00D85A56" w:rsidRDefault="00220613" w:rsidP="008928D1">
      <w:pPr>
        <w:rPr>
          <w:rFonts w:cs="Arial"/>
          <w:color w:val="333333"/>
          <w:sz w:val="24"/>
          <w:szCs w:val="24"/>
        </w:rPr>
      </w:pPr>
      <w:r>
        <w:rPr>
          <w:rFonts w:cs="Arial"/>
          <w:color w:val="333333"/>
          <w:sz w:val="24"/>
          <w:szCs w:val="24"/>
        </w:rPr>
        <w:t>Date of Service</w:t>
      </w:r>
      <w:r w:rsidR="00B63F9F">
        <w:rPr>
          <w:rFonts w:cs="Arial"/>
          <w:color w:val="333333"/>
          <w:sz w:val="24"/>
          <w:szCs w:val="24"/>
        </w:rPr>
        <w:t>: [XX-XX-XX</w:t>
      </w:r>
      <w:r>
        <w:rPr>
          <w:rFonts w:cs="Arial"/>
          <w:color w:val="333333"/>
          <w:sz w:val="24"/>
          <w:szCs w:val="24"/>
        </w:rPr>
        <w:t>]</w:t>
      </w:r>
    </w:p>
    <w:p w14:paraId="7B349DF4" w14:textId="77777777" w:rsidR="00B63F9F" w:rsidRDefault="00165358" w:rsidP="00220613">
      <w:pPr>
        <w:rPr>
          <w:rFonts w:cs="Arial"/>
          <w:color w:val="333333"/>
          <w:sz w:val="23"/>
          <w:szCs w:val="23"/>
        </w:rPr>
      </w:pPr>
      <w:r>
        <w:rPr>
          <w:rFonts w:cs="Arial"/>
          <w:color w:val="333333"/>
          <w:sz w:val="23"/>
          <w:szCs w:val="23"/>
        </w:rPr>
        <w:t xml:space="preserve"> </w:t>
      </w:r>
    </w:p>
    <w:p w14:paraId="76FFC698" w14:textId="59508846" w:rsidR="008928D1" w:rsidRPr="00B70E01" w:rsidRDefault="00165358" w:rsidP="00220613">
      <w:pPr>
        <w:rPr>
          <w:sz w:val="23"/>
          <w:szCs w:val="23"/>
        </w:rPr>
      </w:pPr>
      <w:r>
        <w:rPr>
          <w:rFonts w:cs="Arial"/>
          <w:color w:val="333333"/>
          <w:sz w:val="23"/>
          <w:szCs w:val="23"/>
        </w:rPr>
        <w:t>To Whom i</w:t>
      </w:r>
      <w:r w:rsidR="00E5009B">
        <w:rPr>
          <w:rFonts w:cs="Arial"/>
          <w:color w:val="333333"/>
          <w:sz w:val="23"/>
          <w:szCs w:val="23"/>
        </w:rPr>
        <w:t>t</w:t>
      </w:r>
      <w:r>
        <w:rPr>
          <w:rFonts w:cs="Arial"/>
          <w:color w:val="333333"/>
          <w:sz w:val="23"/>
          <w:szCs w:val="23"/>
        </w:rPr>
        <w:t xml:space="preserve"> may concern</w:t>
      </w:r>
      <w:r w:rsidR="00B63F9F">
        <w:rPr>
          <w:rFonts w:cs="Arial"/>
          <w:color w:val="333333"/>
          <w:sz w:val="23"/>
          <w:szCs w:val="23"/>
        </w:rPr>
        <w:t>,</w:t>
      </w:r>
      <w:r w:rsidR="008928D1" w:rsidRPr="00B70E01">
        <w:rPr>
          <w:rFonts w:cs="Arial"/>
          <w:color w:val="333333"/>
          <w:sz w:val="23"/>
          <w:szCs w:val="23"/>
        </w:rPr>
        <w:t xml:space="preserve"> </w:t>
      </w:r>
    </w:p>
    <w:p w14:paraId="274B1813" w14:textId="79F1A3C6" w:rsidR="002B2D4A" w:rsidRPr="002B2D4A" w:rsidRDefault="008E77FE" w:rsidP="00A1443B">
      <w:r>
        <w:rPr>
          <w:rFonts w:cs="Arial"/>
          <w:sz w:val="23"/>
          <w:szCs w:val="23"/>
        </w:rPr>
        <w:t xml:space="preserve">This is an appeal </w:t>
      </w:r>
      <w:r w:rsidR="00C9264A">
        <w:rPr>
          <w:rFonts w:cs="Arial"/>
          <w:sz w:val="23"/>
          <w:szCs w:val="23"/>
        </w:rPr>
        <w:t>for the</w:t>
      </w:r>
      <w:r>
        <w:rPr>
          <w:rFonts w:cs="Arial"/>
          <w:sz w:val="23"/>
          <w:szCs w:val="23"/>
        </w:rPr>
        <w:t xml:space="preserve"> </w:t>
      </w:r>
      <w:r w:rsidR="00921B0A">
        <w:rPr>
          <w:rFonts w:cs="Arial"/>
          <w:sz w:val="23"/>
          <w:szCs w:val="23"/>
        </w:rPr>
        <w:t xml:space="preserve">inappropriate </w:t>
      </w:r>
      <w:r>
        <w:rPr>
          <w:rFonts w:cs="Arial"/>
          <w:sz w:val="23"/>
          <w:szCs w:val="23"/>
        </w:rPr>
        <w:t xml:space="preserve">denial </w:t>
      </w:r>
      <w:r w:rsidR="007E17B4">
        <w:rPr>
          <w:rFonts w:cs="Arial"/>
          <w:sz w:val="23"/>
          <w:szCs w:val="23"/>
        </w:rPr>
        <w:t>for</w:t>
      </w:r>
      <w:r w:rsidR="004A3B00">
        <w:rPr>
          <w:rFonts w:cs="Arial"/>
          <w:sz w:val="23"/>
          <w:szCs w:val="23"/>
        </w:rPr>
        <w:t xml:space="preserve"> total knee arthroplasty (TK</w:t>
      </w:r>
      <w:r w:rsidR="00E30106">
        <w:rPr>
          <w:rFonts w:cs="Arial"/>
          <w:sz w:val="23"/>
          <w:szCs w:val="23"/>
        </w:rPr>
        <w:t>A</w:t>
      </w:r>
      <w:r w:rsidR="004A3B00">
        <w:rPr>
          <w:rFonts w:cs="Arial"/>
          <w:sz w:val="23"/>
          <w:szCs w:val="23"/>
        </w:rPr>
        <w:t>)</w:t>
      </w:r>
      <w:r w:rsidR="00707A71">
        <w:rPr>
          <w:rFonts w:cs="Arial"/>
          <w:sz w:val="23"/>
          <w:szCs w:val="23"/>
        </w:rPr>
        <w:t xml:space="preserve">, CPT code </w:t>
      </w:r>
      <w:r w:rsidR="00707A71">
        <w:t xml:space="preserve">27447, </w:t>
      </w:r>
      <w:r w:rsidR="004A3B00">
        <w:rPr>
          <w:rFonts w:cs="Arial"/>
          <w:sz w:val="23"/>
          <w:szCs w:val="23"/>
        </w:rPr>
        <w:t xml:space="preserve">performed at an </w:t>
      </w:r>
      <w:r w:rsidR="0009366B">
        <w:rPr>
          <w:rFonts w:cs="Arial"/>
          <w:sz w:val="23"/>
          <w:szCs w:val="23"/>
        </w:rPr>
        <w:t>[</w:t>
      </w:r>
      <w:r w:rsidR="004A3B00" w:rsidRPr="009079DC">
        <w:rPr>
          <w:rFonts w:cs="Arial"/>
          <w:i/>
          <w:iCs/>
          <w:sz w:val="23"/>
          <w:szCs w:val="23"/>
        </w:rPr>
        <w:t>outpatient facility/</w:t>
      </w:r>
      <w:r w:rsidR="0009366B" w:rsidRPr="009079DC">
        <w:rPr>
          <w:rFonts w:cs="Arial"/>
          <w:i/>
          <w:iCs/>
          <w:sz w:val="23"/>
          <w:szCs w:val="23"/>
        </w:rPr>
        <w:t>Ambulatory Surgery enter (ASC</w:t>
      </w:r>
      <w:r w:rsidR="0009366B" w:rsidRPr="00D24885">
        <w:rPr>
          <w:rFonts w:cs="Arial"/>
          <w:sz w:val="23"/>
          <w:szCs w:val="23"/>
        </w:rPr>
        <w:t>)</w:t>
      </w:r>
      <w:r w:rsidR="0009366B">
        <w:rPr>
          <w:rFonts w:cs="Arial"/>
          <w:sz w:val="23"/>
          <w:szCs w:val="23"/>
        </w:rPr>
        <w:t>]</w:t>
      </w:r>
      <w:r w:rsidR="00FE1CF3">
        <w:rPr>
          <w:rFonts w:cs="Arial"/>
          <w:sz w:val="23"/>
          <w:szCs w:val="23"/>
        </w:rPr>
        <w:t xml:space="preserve"> on [</w:t>
      </w:r>
      <w:r w:rsidR="00FE1CF3" w:rsidRPr="009079DC">
        <w:rPr>
          <w:rFonts w:cs="Arial"/>
          <w:i/>
          <w:iCs/>
          <w:sz w:val="23"/>
          <w:szCs w:val="23"/>
        </w:rPr>
        <w:t>date</w:t>
      </w:r>
      <w:r w:rsidR="00FE1CF3">
        <w:rPr>
          <w:rFonts w:cs="Arial"/>
          <w:sz w:val="23"/>
          <w:szCs w:val="23"/>
        </w:rPr>
        <w:t>]</w:t>
      </w:r>
      <w:r w:rsidR="00CD3D94">
        <w:rPr>
          <w:rFonts w:cs="Arial"/>
          <w:sz w:val="23"/>
          <w:szCs w:val="23"/>
        </w:rPr>
        <w:t xml:space="preserve">. </w:t>
      </w:r>
      <w:r w:rsidR="00260FEB">
        <w:rPr>
          <w:rFonts w:cs="Arial"/>
          <w:sz w:val="23"/>
          <w:szCs w:val="23"/>
        </w:rPr>
        <w:t>Please note</w:t>
      </w:r>
      <w:r w:rsidR="00A1443B">
        <w:rPr>
          <w:rFonts w:cs="Arial"/>
          <w:sz w:val="23"/>
          <w:szCs w:val="23"/>
        </w:rPr>
        <w:t>,</w:t>
      </w:r>
      <w:r w:rsidR="006060F8">
        <w:rPr>
          <w:rFonts w:cs="Arial"/>
          <w:sz w:val="23"/>
          <w:szCs w:val="23"/>
        </w:rPr>
        <w:t xml:space="preserve"> </w:t>
      </w:r>
      <w:r w:rsidR="00A1443B">
        <w:rPr>
          <w:rFonts w:cs="Arial"/>
          <w:sz w:val="23"/>
          <w:szCs w:val="23"/>
        </w:rPr>
        <w:t>t</w:t>
      </w:r>
      <w:r w:rsidR="00CD3D94">
        <w:rPr>
          <w:rFonts w:cs="Arial"/>
          <w:sz w:val="23"/>
          <w:szCs w:val="23"/>
        </w:rPr>
        <w:t xml:space="preserve">he Centers for Medicare and Medicaid Services (CMS) </w:t>
      </w:r>
      <w:r w:rsidR="003C2B20">
        <w:t xml:space="preserve">2018 Medicare Outpatient Prospective Payment System </w:t>
      </w:r>
      <w:r w:rsidR="00F42553">
        <w:t xml:space="preserve">(OPPS) </w:t>
      </w:r>
      <w:r w:rsidR="003C2B20">
        <w:t>Final Rule, published Nov. 13, 2017</w:t>
      </w:r>
      <w:r w:rsidR="006B1381">
        <w:t xml:space="preserve"> (</w:t>
      </w:r>
      <w:r w:rsidR="003C2B20">
        <w:t>82 Fed. Reg. 52,523</w:t>
      </w:r>
      <w:r w:rsidR="006B1381">
        <w:t xml:space="preserve">) </w:t>
      </w:r>
      <w:r w:rsidR="00157F3D">
        <w:rPr>
          <w:rFonts w:cs="Arial"/>
          <w:sz w:val="23"/>
          <w:szCs w:val="23"/>
        </w:rPr>
        <w:t>lists the “r</w:t>
      </w:r>
      <w:r w:rsidR="005D0B39">
        <w:t xml:space="preserve">emoval TKA </w:t>
      </w:r>
      <w:r w:rsidR="002B2D4A">
        <w:t>p</w:t>
      </w:r>
      <w:r w:rsidR="005D0B39">
        <w:t xml:space="preserve">rocedure </w:t>
      </w:r>
      <w:r w:rsidR="002B2D4A">
        <w:t>d</w:t>
      </w:r>
      <w:r w:rsidR="005D0B39">
        <w:t xml:space="preserve">escribed by CPT </w:t>
      </w:r>
      <w:r w:rsidR="002B2D4A">
        <w:t>c</w:t>
      </w:r>
      <w:r w:rsidR="005D0B39">
        <w:t>ode 27447</w:t>
      </w:r>
      <w:r w:rsidR="002D38A9">
        <w:t xml:space="preserve"> from the </w:t>
      </w:r>
      <w:r w:rsidR="000E7C0E">
        <w:t>i</w:t>
      </w:r>
      <w:r w:rsidR="002D38A9">
        <w:rPr>
          <w:rFonts w:cs="Arial"/>
          <w:sz w:val="23"/>
          <w:szCs w:val="23"/>
        </w:rPr>
        <w:t>n-patient only (IPO)</w:t>
      </w:r>
      <w:r w:rsidR="000E7C0E">
        <w:rPr>
          <w:rFonts w:cs="Arial"/>
          <w:sz w:val="23"/>
          <w:szCs w:val="23"/>
        </w:rPr>
        <w:t xml:space="preserve"> list”.</w:t>
      </w:r>
    </w:p>
    <w:p w14:paraId="0C9B2A2C" w14:textId="77777777" w:rsidR="000E7C0E" w:rsidRDefault="000E7C0E" w:rsidP="00A1443B"/>
    <w:p w14:paraId="6AFAD1E9" w14:textId="4624CB61" w:rsidR="00304249" w:rsidRDefault="00D7345C" w:rsidP="00A1443B">
      <w:r>
        <w:t>T</w:t>
      </w:r>
      <w:r w:rsidR="00A8117D">
        <w:t xml:space="preserve">he </w:t>
      </w:r>
      <w:r w:rsidR="00305AB8">
        <w:t xml:space="preserve">CMS publication, </w:t>
      </w:r>
      <w:r w:rsidR="00304249" w:rsidRPr="00305AB8">
        <w:rPr>
          <w:i/>
          <w:iCs/>
        </w:rPr>
        <w:t>MLN Matters</w:t>
      </w:r>
      <w:r w:rsidR="00305AB8">
        <w:rPr>
          <w:i/>
          <w:iCs/>
        </w:rPr>
        <w:t>,</w:t>
      </w:r>
      <w:r w:rsidR="00304249">
        <w:t xml:space="preserve"> </w:t>
      </w:r>
      <w:r w:rsidR="00A8117D">
        <w:t>n</w:t>
      </w:r>
      <w:r w:rsidR="00304249">
        <w:t>umber: SE19002</w:t>
      </w:r>
      <w:r w:rsidR="006A1F97">
        <w:t xml:space="preserve">, </w:t>
      </w:r>
      <w:r w:rsidR="00A8117D">
        <w:t xml:space="preserve">published </w:t>
      </w:r>
      <w:r w:rsidR="006A1F97">
        <w:t xml:space="preserve">January 24, 2019, </w:t>
      </w:r>
      <w:r w:rsidR="00E05CC4">
        <w:t>e</w:t>
      </w:r>
      <w:r w:rsidR="00ED6524">
        <w:t>ffective Date: January 1, 2018</w:t>
      </w:r>
      <w:r w:rsidR="00E05CC4">
        <w:t xml:space="preserve"> states:</w:t>
      </w:r>
    </w:p>
    <w:p w14:paraId="7472F09E" w14:textId="4586EFAD" w:rsidR="00ED6524" w:rsidRPr="00404936" w:rsidRDefault="008D5AFE" w:rsidP="00404936">
      <w:pPr>
        <w:ind w:left="720"/>
        <w:rPr>
          <w:i/>
          <w:iCs/>
        </w:rPr>
      </w:pPr>
      <w:r w:rsidRPr="00404936">
        <w:rPr>
          <w:i/>
          <w:iCs/>
        </w:rPr>
        <w:t>“</w:t>
      </w:r>
      <w:r w:rsidR="00D7345C" w:rsidRPr="006B7C3D">
        <w:rPr>
          <w:b/>
          <w:bCs/>
          <w:i/>
          <w:iCs/>
        </w:rPr>
        <w:t>TKA procedures and application of the 2-Midnight Rule has been removed from</w:t>
      </w:r>
      <w:r w:rsidR="00D7345C" w:rsidRPr="006B7C3D">
        <w:rPr>
          <w:b/>
          <w:bCs/>
        </w:rPr>
        <w:t xml:space="preserve"> </w:t>
      </w:r>
      <w:r w:rsidR="00D7345C" w:rsidRPr="006B7C3D">
        <w:rPr>
          <w:b/>
          <w:bCs/>
          <w:i/>
          <w:iCs/>
        </w:rPr>
        <w:t>Medicare’s inpatient-only (IPO) list</w:t>
      </w:r>
      <w:r w:rsidR="00D7345C" w:rsidRPr="006B7C3D">
        <w:rPr>
          <w:i/>
          <w:iCs/>
        </w:rPr>
        <w:t>.</w:t>
      </w:r>
      <w:r w:rsidR="00D7345C">
        <w:t xml:space="preserve"> </w:t>
      </w:r>
      <w:r w:rsidR="00ED6524" w:rsidRPr="00404936">
        <w:rPr>
          <w:i/>
          <w:iCs/>
        </w:rPr>
        <w:t xml:space="preserve">The Centers for Medicare &amp; Medicaid Services (CMS) removed the Current Procedural Terminology (CPT) code describing TKA procedures from Medicare’s Inpatient-Only List (IPO) </w:t>
      </w:r>
      <w:r w:rsidR="00ED6524" w:rsidRPr="004A0001">
        <w:rPr>
          <w:b/>
          <w:bCs/>
          <w:i/>
          <w:iCs/>
        </w:rPr>
        <w:t>effective January 2018</w:t>
      </w:r>
      <w:r w:rsidR="00ED6524" w:rsidRPr="00404936">
        <w:rPr>
          <w:i/>
          <w:iCs/>
        </w:rPr>
        <w:t xml:space="preserve">. This </w:t>
      </w:r>
      <w:r w:rsidR="00ED6524" w:rsidRPr="000009B7">
        <w:rPr>
          <w:b/>
          <w:bCs/>
          <w:i/>
          <w:iCs/>
        </w:rPr>
        <w:t>allows TKA procedures to be performed on an inpatient or outpatient basis</w:t>
      </w:r>
      <w:r w:rsidR="00ED6524" w:rsidRPr="00404936">
        <w:rPr>
          <w:i/>
          <w:iCs/>
        </w:rPr>
        <w:t>. In other words, it allows Medicare payment to be made to the hospital for TKA procedures regardless of whether a beneficiary is admitted to the hospital as an inpatient or as an outpatient, assuming all other criteria are met. This does not have any impact on CMS’ 2- midnight policy. CMS policy does not dictate a patient’s hospital admission status and has no default determination on whether a TKA procedures should be done on an inpatient or outpatient basis.</w:t>
      </w:r>
      <w:r w:rsidR="008110FD">
        <w:rPr>
          <w:i/>
          <w:iCs/>
        </w:rPr>
        <w:t>”</w:t>
      </w:r>
    </w:p>
    <w:p w14:paraId="21E49C24" w14:textId="110CC345" w:rsidR="0030312F" w:rsidRDefault="008110FD" w:rsidP="00404936">
      <w:pPr>
        <w:ind w:left="720"/>
        <w:rPr>
          <w:rFonts w:cs="Arial"/>
          <w:sz w:val="23"/>
          <w:szCs w:val="23"/>
        </w:rPr>
      </w:pPr>
      <w:r>
        <w:rPr>
          <w:i/>
          <w:iCs/>
        </w:rPr>
        <w:t>“</w:t>
      </w:r>
      <w:r w:rsidR="008D5AFE" w:rsidRPr="00404936">
        <w:rPr>
          <w:i/>
          <w:iCs/>
        </w:rPr>
        <w:t xml:space="preserve">CMS continues its long-standing recognition that the decision to admit a patient as an inpatient is a complex medical decision, based on the physician’s clinical expectation of how long hospital care is anticipated to be necessary, and should consider the individual beneficiary’s unique clinical circumstances. The Beneficiary and Family-Centered Care Quality Improvement Organizations (BFCC-QIOs) are contracted by CMS to review a sample of Medicare fee-for-service (FFS) short-stay inpatient claims (claims with hospital stays lasting less than 2 midnights </w:t>
      </w:r>
      <w:r w:rsidR="008D5AFE" w:rsidRPr="00404936">
        <w:rPr>
          <w:i/>
          <w:iCs/>
        </w:rPr>
        <w:lastRenderedPageBreak/>
        <w:t>after formal inpatient admission) for compliance with the 2-Midnight Rule.</w:t>
      </w:r>
      <w:r w:rsidR="00404936" w:rsidRPr="00404936">
        <w:rPr>
          <w:i/>
          <w:iCs/>
        </w:rPr>
        <w:t xml:space="preserve"> </w:t>
      </w:r>
      <w:r w:rsidR="0030312F" w:rsidRPr="00404936">
        <w:rPr>
          <w:i/>
          <w:iCs/>
        </w:rPr>
        <w:t>This allows TKA procedures to be paid by Medicare FFS when performed in either the hospital inpatient or hospital outpatient setting, assuming all other criteria are met</w:t>
      </w:r>
      <w:r w:rsidR="0030312F">
        <w:t>.</w:t>
      </w:r>
      <w:r w:rsidR="00404936">
        <w:t>”</w:t>
      </w:r>
    </w:p>
    <w:p w14:paraId="5C866121" w14:textId="77777777" w:rsidR="00A56015" w:rsidRDefault="00A56015" w:rsidP="00A1443B">
      <w:pPr>
        <w:rPr>
          <w:rFonts w:cs="Arial"/>
          <w:sz w:val="23"/>
          <w:szCs w:val="23"/>
        </w:rPr>
      </w:pPr>
    </w:p>
    <w:p w14:paraId="0F19F270" w14:textId="71372341" w:rsidR="000A5ABA" w:rsidRPr="00A56015" w:rsidRDefault="00A56015" w:rsidP="00A56015">
      <w:pPr>
        <w:spacing w:after="5" w:line="250" w:lineRule="auto"/>
        <w:ind w:left="-5" w:hanging="10"/>
        <w:rPr>
          <w:sz w:val="23"/>
          <w:szCs w:val="23"/>
        </w:rPr>
      </w:pPr>
      <w:r w:rsidRPr="00B70E01">
        <w:rPr>
          <w:rFonts w:cs="Arial"/>
          <w:sz w:val="23"/>
          <w:szCs w:val="23"/>
        </w:rPr>
        <w:t xml:space="preserve">As the ultimate advocate for our patients, we must insist that the </w:t>
      </w:r>
      <w:r w:rsidR="0074163E">
        <w:rPr>
          <w:rFonts w:cs="Arial"/>
          <w:sz w:val="23"/>
          <w:szCs w:val="23"/>
        </w:rPr>
        <w:t>inpatient/outpatient</w:t>
      </w:r>
      <w:r w:rsidRPr="00B70E01">
        <w:rPr>
          <w:rFonts w:cs="Arial"/>
          <w:sz w:val="23"/>
          <w:szCs w:val="23"/>
        </w:rPr>
        <w:t xml:space="preserve"> decision is left in the hands of the physician, as intended by Medicare.</w:t>
      </w:r>
      <w:r w:rsidRPr="00B70E01">
        <w:rPr>
          <w:rFonts w:cs="Arial"/>
          <w:i/>
          <w:sz w:val="23"/>
          <w:szCs w:val="23"/>
        </w:rPr>
        <w:t xml:space="preserve"> </w:t>
      </w:r>
      <w:r w:rsidR="0008567C">
        <w:rPr>
          <w:rFonts w:cs="Arial"/>
          <w:sz w:val="23"/>
          <w:szCs w:val="23"/>
        </w:rPr>
        <w:t xml:space="preserve">Therefore, </w:t>
      </w:r>
      <w:r w:rsidR="00FD34A1">
        <w:rPr>
          <w:rFonts w:cs="Arial"/>
          <w:sz w:val="23"/>
          <w:szCs w:val="23"/>
        </w:rPr>
        <w:t xml:space="preserve">since CMS </w:t>
      </w:r>
      <w:r w:rsidR="004014DB">
        <w:rPr>
          <w:rFonts w:cs="Arial"/>
          <w:sz w:val="23"/>
          <w:szCs w:val="23"/>
        </w:rPr>
        <w:t xml:space="preserve">has </w:t>
      </w:r>
      <w:r w:rsidR="004014DB" w:rsidRPr="004014DB">
        <w:rPr>
          <w:rFonts w:cs="Arial"/>
          <w:sz w:val="23"/>
          <w:szCs w:val="23"/>
        </w:rPr>
        <w:t xml:space="preserve">removed TKA from the IPO list and </w:t>
      </w:r>
      <w:r w:rsidR="00FD34A1" w:rsidRPr="004014DB">
        <w:rPr>
          <w:rFonts w:cs="Arial"/>
          <w:sz w:val="23"/>
          <w:szCs w:val="23"/>
        </w:rPr>
        <w:t xml:space="preserve">allows TKA procedures to be performed and reimbursed </w:t>
      </w:r>
      <w:r w:rsidR="004014DB" w:rsidRPr="004014DB">
        <w:rPr>
          <w:rFonts w:cs="Arial"/>
          <w:sz w:val="23"/>
          <w:szCs w:val="23"/>
        </w:rPr>
        <w:t xml:space="preserve">when performed </w:t>
      </w:r>
      <w:r w:rsidR="00FD34A1" w:rsidRPr="004014DB">
        <w:rPr>
          <w:rFonts w:cs="Arial"/>
          <w:sz w:val="23"/>
          <w:szCs w:val="23"/>
        </w:rPr>
        <w:t xml:space="preserve">on </w:t>
      </w:r>
      <w:r w:rsidR="004014DB" w:rsidRPr="004014DB">
        <w:rPr>
          <w:rFonts w:cs="Arial"/>
          <w:sz w:val="23"/>
          <w:szCs w:val="23"/>
        </w:rPr>
        <w:t xml:space="preserve">both </w:t>
      </w:r>
      <w:r w:rsidR="00FD34A1" w:rsidRPr="004014DB">
        <w:rPr>
          <w:rFonts w:cs="Arial"/>
          <w:sz w:val="23"/>
          <w:szCs w:val="23"/>
        </w:rPr>
        <w:t xml:space="preserve">an inpatient </w:t>
      </w:r>
      <w:r w:rsidR="00BC7C42">
        <w:rPr>
          <w:rFonts w:cs="Arial"/>
          <w:sz w:val="23"/>
          <w:szCs w:val="23"/>
        </w:rPr>
        <w:t>and</w:t>
      </w:r>
      <w:r w:rsidR="00FD34A1" w:rsidRPr="004014DB">
        <w:rPr>
          <w:rFonts w:cs="Arial"/>
          <w:sz w:val="23"/>
          <w:szCs w:val="23"/>
        </w:rPr>
        <w:t xml:space="preserve"> outpatient basis</w:t>
      </w:r>
      <w:r w:rsidR="004014DB" w:rsidRPr="004014DB">
        <w:rPr>
          <w:rFonts w:cs="Arial"/>
          <w:sz w:val="23"/>
          <w:szCs w:val="23"/>
        </w:rPr>
        <w:t xml:space="preserve">, </w:t>
      </w:r>
      <w:r w:rsidR="0008567C">
        <w:rPr>
          <w:rFonts w:cs="Arial"/>
          <w:sz w:val="23"/>
          <w:szCs w:val="23"/>
        </w:rPr>
        <w:t xml:space="preserve">we request a reprocessing of this claim in order to obtain the accurate reimbursement </w:t>
      </w:r>
      <w:r w:rsidR="00495DEE">
        <w:rPr>
          <w:rFonts w:cs="Arial"/>
          <w:sz w:val="23"/>
          <w:szCs w:val="23"/>
        </w:rPr>
        <w:t xml:space="preserve">due </w:t>
      </w:r>
      <w:r w:rsidR="00ED1CC1">
        <w:rPr>
          <w:rFonts w:cs="Arial"/>
          <w:sz w:val="23"/>
          <w:szCs w:val="23"/>
        </w:rPr>
        <w:t xml:space="preserve">for performing TKA </w:t>
      </w:r>
      <w:r w:rsidR="00137F69">
        <w:rPr>
          <w:rFonts w:cs="Arial"/>
          <w:sz w:val="23"/>
          <w:szCs w:val="23"/>
        </w:rPr>
        <w:t>for th</w:t>
      </w:r>
      <w:r w:rsidR="00E75BFF">
        <w:rPr>
          <w:rFonts w:cs="Arial"/>
          <w:sz w:val="23"/>
          <w:szCs w:val="23"/>
        </w:rPr>
        <w:t>is</w:t>
      </w:r>
      <w:r w:rsidR="00137F69">
        <w:rPr>
          <w:rFonts w:cs="Arial"/>
          <w:sz w:val="23"/>
          <w:szCs w:val="23"/>
        </w:rPr>
        <w:t xml:space="preserve"> patient on the date listed above. </w:t>
      </w:r>
    </w:p>
    <w:p w14:paraId="4AD89CC3" w14:textId="6A27171D" w:rsidR="00C321D5" w:rsidRPr="00B70E01" w:rsidRDefault="00C321D5" w:rsidP="00C321D5">
      <w:pPr>
        <w:rPr>
          <w:sz w:val="23"/>
          <w:szCs w:val="23"/>
        </w:rPr>
      </w:pPr>
    </w:p>
    <w:p w14:paraId="090F7BD6" w14:textId="7CE08410" w:rsidR="006060F8" w:rsidRDefault="0074163E" w:rsidP="00B63F9F">
      <w:pPr>
        <w:rPr>
          <w:rFonts w:cs="Arial"/>
          <w:sz w:val="23"/>
          <w:szCs w:val="23"/>
        </w:rPr>
      </w:pPr>
      <w:r>
        <w:rPr>
          <w:rFonts w:cs="Arial"/>
          <w:sz w:val="23"/>
          <w:szCs w:val="23"/>
        </w:rPr>
        <w:t>Sincerely,</w:t>
      </w:r>
      <w:r w:rsidR="008928D1" w:rsidRPr="00B70E01">
        <w:rPr>
          <w:rFonts w:cs="Arial"/>
          <w:sz w:val="23"/>
          <w:szCs w:val="23"/>
        </w:rPr>
        <w:t xml:space="preserve"> </w:t>
      </w:r>
    </w:p>
    <w:sectPr w:rsidR="006060F8" w:rsidSect="00B572E7">
      <w:headerReference w:type="even" r:id="rId11"/>
      <w:headerReference w:type="default" r:id="rId12"/>
      <w:footerReference w:type="even" r:id="rId13"/>
      <w:footerReference w:type="default" r:id="rId14"/>
      <w:headerReference w:type="first" r:id="rId15"/>
      <w:footerReference w:type="first" r:id="rId16"/>
      <w:type w:val="continuous"/>
      <w:pgSz w:w="12240" w:h="15840"/>
      <w:pgMar w:top="2160" w:right="810" w:bottom="1980" w:left="360" w:header="720" w:footer="720" w:gutter="0"/>
      <w:cols w:space="9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51008" w14:textId="77777777" w:rsidR="005A2738" w:rsidRDefault="005A2738" w:rsidP="00044B10">
      <w:pPr>
        <w:spacing w:after="0" w:line="240" w:lineRule="auto"/>
      </w:pPr>
      <w:r>
        <w:separator/>
      </w:r>
    </w:p>
  </w:endnote>
  <w:endnote w:type="continuationSeparator" w:id="0">
    <w:p w14:paraId="39D1846E" w14:textId="77777777" w:rsidR="005A2738" w:rsidRDefault="005A2738" w:rsidP="00044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D17DF" w14:textId="77777777" w:rsidR="007B093D" w:rsidRDefault="007B09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3375242"/>
      <w:docPartObj>
        <w:docPartGallery w:val="Page Numbers (Bottom of Page)"/>
        <w:docPartUnique/>
      </w:docPartObj>
    </w:sdtPr>
    <w:sdtEndPr>
      <w:rPr>
        <w:noProof/>
      </w:rPr>
    </w:sdtEndPr>
    <w:sdtContent>
      <w:p w14:paraId="277045A7" w14:textId="6A820DAF" w:rsidR="00EE55D2" w:rsidRDefault="00EE55D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158B15" w14:textId="77777777" w:rsidR="009902A1" w:rsidRDefault="009902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E3373" w14:textId="77777777" w:rsidR="007B093D" w:rsidRDefault="007B0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0BA91" w14:textId="77777777" w:rsidR="005A2738" w:rsidRDefault="005A2738" w:rsidP="00044B10">
      <w:pPr>
        <w:spacing w:after="0" w:line="240" w:lineRule="auto"/>
      </w:pPr>
      <w:r>
        <w:separator/>
      </w:r>
    </w:p>
  </w:footnote>
  <w:footnote w:type="continuationSeparator" w:id="0">
    <w:p w14:paraId="6CA3052A" w14:textId="77777777" w:rsidR="005A2738" w:rsidRDefault="005A2738" w:rsidP="00044B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31F7D" w14:textId="77777777" w:rsidR="007B093D" w:rsidRDefault="007B09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460F8" w14:textId="3A43F774" w:rsidR="002039C8" w:rsidRDefault="005A2738">
    <w:pPr>
      <w:pStyle w:val="Header"/>
    </w:pPr>
    <w:sdt>
      <w:sdtPr>
        <w:id w:val="-669101961"/>
        <w:docPartObj>
          <w:docPartGallery w:val="Page Numbers (Margins)"/>
          <w:docPartUnique/>
        </w:docPartObj>
      </w:sdtPr>
      <w:sdtEndPr/>
      <w:sdtContent>
        <w:r w:rsidR="00AF76CD">
          <w:rPr>
            <w:noProof/>
          </w:rPr>
          <mc:AlternateContent>
            <mc:Choice Requires="wps">
              <w:drawing>
                <wp:anchor distT="0" distB="0" distL="114300" distR="114300" simplePos="0" relativeHeight="251657728" behindDoc="0" locked="0" layoutInCell="0" allowOverlap="1" wp14:anchorId="7AA0C80B" wp14:editId="59E08C44">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745A9" w14:textId="77777777" w:rsidR="00AF76CD" w:rsidRDefault="00AF76C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AA0C80B" id="Rectangle 1"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" o:allowincell="f" filled="f" stroked="f">
                  <v:textbox style="layout-flow:vertical;mso-layout-flow-alt:bottom-to-top;mso-fit-shape-to-text:t">
                    <w:txbxContent>
                      <w:p w14:paraId="052745A9" w14:textId="77777777" w:rsidR="00AF76CD" w:rsidRDefault="00AF76C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2039C8">
      <w:rPr>
        <w:noProof/>
      </w:rPr>
      <w:drawing>
        <wp:anchor distT="0" distB="0" distL="114300" distR="114300" simplePos="0" relativeHeight="251656704" behindDoc="0" locked="0" layoutInCell="1" allowOverlap="1" wp14:anchorId="6845447B" wp14:editId="4460FEC5">
          <wp:simplePos x="0" y="0"/>
          <wp:positionH relativeFrom="column">
            <wp:posOffset>-351155</wp:posOffset>
          </wp:positionH>
          <wp:positionV relativeFrom="paragraph">
            <wp:posOffset>-590257</wp:posOffset>
          </wp:positionV>
          <wp:extent cx="8037576" cy="10332720"/>
          <wp:effectExtent l="0" t="0" r="1905" b="0"/>
          <wp:wrapNone/>
          <wp:docPr id="2" name="Picture 2" descr="C:\Users\copycenter\Desktop\AAOS_Rosemont_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pycenter\Desktop\AAOS_Rosemont_Letter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7576" cy="10332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8630C" w14:textId="77777777" w:rsidR="007B093D" w:rsidRDefault="007B09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3606C"/>
    <w:multiLevelType w:val="hybridMultilevel"/>
    <w:tmpl w:val="45DC8C4A"/>
    <w:lvl w:ilvl="0" w:tplc="6D4C55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20793F"/>
    <w:multiLevelType w:val="hybridMultilevel"/>
    <w:tmpl w:val="25EA0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C7C81"/>
    <w:multiLevelType w:val="hybridMultilevel"/>
    <w:tmpl w:val="489C1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6B6E8F"/>
    <w:multiLevelType w:val="hybridMultilevel"/>
    <w:tmpl w:val="B802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037BA3"/>
    <w:multiLevelType w:val="hybridMultilevel"/>
    <w:tmpl w:val="45DC8C4A"/>
    <w:lvl w:ilvl="0" w:tplc="6D4C55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99E44E6"/>
    <w:multiLevelType w:val="hybridMultilevel"/>
    <w:tmpl w:val="45DC8C4A"/>
    <w:lvl w:ilvl="0" w:tplc="6D4C55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0A8547F"/>
    <w:multiLevelType w:val="hybridMultilevel"/>
    <w:tmpl w:val="81A28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B10"/>
    <w:rsid w:val="000009B7"/>
    <w:rsid w:val="00021C10"/>
    <w:rsid w:val="00036EFF"/>
    <w:rsid w:val="00044B10"/>
    <w:rsid w:val="00066C98"/>
    <w:rsid w:val="0008567C"/>
    <w:rsid w:val="0009366B"/>
    <w:rsid w:val="000A1CF1"/>
    <w:rsid w:val="000A5ABA"/>
    <w:rsid w:val="000C6003"/>
    <w:rsid w:val="000E7C0E"/>
    <w:rsid w:val="000F43EA"/>
    <w:rsid w:val="00106C61"/>
    <w:rsid w:val="00137F69"/>
    <w:rsid w:val="00142FA5"/>
    <w:rsid w:val="00155284"/>
    <w:rsid w:val="00157F3D"/>
    <w:rsid w:val="0016163B"/>
    <w:rsid w:val="00165358"/>
    <w:rsid w:val="001D0FA7"/>
    <w:rsid w:val="002039C8"/>
    <w:rsid w:val="00220613"/>
    <w:rsid w:val="0025780E"/>
    <w:rsid w:val="00260FEB"/>
    <w:rsid w:val="00280C1B"/>
    <w:rsid w:val="002B2D4A"/>
    <w:rsid w:val="002D38A9"/>
    <w:rsid w:val="002D588D"/>
    <w:rsid w:val="002E1028"/>
    <w:rsid w:val="002E3172"/>
    <w:rsid w:val="0030300C"/>
    <w:rsid w:val="0030312F"/>
    <w:rsid w:val="00304249"/>
    <w:rsid w:val="00305AB8"/>
    <w:rsid w:val="0032040D"/>
    <w:rsid w:val="003231FA"/>
    <w:rsid w:val="00323E04"/>
    <w:rsid w:val="003918EC"/>
    <w:rsid w:val="0039759C"/>
    <w:rsid w:val="003C2B20"/>
    <w:rsid w:val="003C3075"/>
    <w:rsid w:val="003D63A7"/>
    <w:rsid w:val="004014DB"/>
    <w:rsid w:val="00404936"/>
    <w:rsid w:val="00407123"/>
    <w:rsid w:val="00416A28"/>
    <w:rsid w:val="0043243E"/>
    <w:rsid w:val="00455594"/>
    <w:rsid w:val="00495DEE"/>
    <w:rsid w:val="004A0001"/>
    <w:rsid w:val="004A3B00"/>
    <w:rsid w:val="004C2FCC"/>
    <w:rsid w:val="004D0E54"/>
    <w:rsid w:val="004D630B"/>
    <w:rsid w:val="004E4B6B"/>
    <w:rsid w:val="004E710F"/>
    <w:rsid w:val="0050307B"/>
    <w:rsid w:val="005212D5"/>
    <w:rsid w:val="005515D9"/>
    <w:rsid w:val="00564819"/>
    <w:rsid w:val="005A2738"/>
    <w:rsid w:val="005C34E6"/>
    <w:rsid w:val="005D0B39"/>
    <w:rsid w:val="005D5FC4"/>
    <w:rsid w:val="006060F8"/>
    <w:rsid w:val="00636650"/>
    <w:rsid w:val="00680079"/>
    <w:rsid w:val="00680D2C"/>
    <w:rsid w:val="00693076"/>
    <w:rsid w:val="006A1F97"/>
    <w:rsid w:val="006B1381"/>
    <w:rsid w:val="006B7C3D"/>
    <w:rsid w:val="006C49B1"/>
    <w:rsid w:val="006D6CE1"/>
    <w:rsid w:val="00707A71"/>
    <w:rsid w:val="007356AF"/>
    <w:rsid w:val="0074163E"/>
    <w:rsid w:val="0074694F"/>
    <w:rsid w:val="0079018B"/>
    <w:rsid w:val="007B093D"/>
    <w:rsid w:val="007D70F5"/>
    <w:rsid w:val="007E17B4"/>
    <w:rsid w:val="0080387A"/>
    <w:rsid w:val="008110FD"/>
    <w:rsid w:val="00820BBE"/>
    <w:rsid w:val="00833F0C"/>
    <w:rsid w:val="00880345"/>
    <w:rsid w:val="008928D1"/>
    <w:rsid w:val="008D5AFE"/>
    <w:rsid w:val="008E77FE"/>
    <w:rsid w:val="009054E0"/>
    <w:rsid w:val="009079DC"/>
    <w:rsid w:val="00921B0A"/>
    <w:rsid w:val="00935BDE"/>
    <w:rsid w:val="009545E0"/>
    <w:rsid w:val="009739A1"/>
    <w:rsid w:val="009902A1"/>
    <w:rsid w:val="009C0200"/>
    <w:rsid w:val="009D2B03"/>
    <w:rsid w:val="00A04A68"/>
    <w:rsid w:val="00A1443B"/>
    <w:rsid w:val="00A2427B"/>
    <w:rsid w:val="00A545C6"/>
    <w:rsid w:val="00A56015"/>
    <w:rsid w:val="00A57D9D"/>
    <w:rsid w:val="00A64587"/>
    <w:rsid w:val="00A71142"/>
    <w:rsid w:val="00A8117D"/>
    <w:rsid w:val="00AA105D"/>
    <w:rsid w:val="00AA412B"/>
    <w:rsid w:val="00AE2C68"/>
    <w:rsid w:val="00AF3CEF"/>
    <w:rsid w:val="00AF73B6"/>
    <w:rsid w:val="00AF76CD"/>
    <w:rsid w:val="00B129B6"/>
    <w:rsid w:val="00B55E5A"/>
    <w:rsid w:val="00B572E7"/>
    <w:rsid w:val="00B610C3"/>
    <w:rsid w:val="00B63F9F"/>
    <w:rsid w:val="00B64CD0"/>
    <w:rsid w:val="00B75F18"/>
    <w:rsid w:val="00BC6005"/>
    <w:rsid w:val="00BC7C42"/>
    <w:rsid w:val="00BE2390"/>
    <w:rsid w:val="00C047EF"/>
    <w:rsid w:val="00C105C5"/>
    <w:rsid w:val="00C321D5"/>
    <w:rsid w:val="00C81203"/>
    <w:rsid w:val="00C9264A"/>
    <w:rsid w:val="00C92FD2"/>
    <w:rsid w:val="00C970CD"/>
    <w:rsid w:val="00CA0C2D"/>
    <w:rsid w:val="00CC1813"/>
    <w:rsid w:val="00CD3D94"/>
    <w:rsid w:val="00CD4630"/>
    <w:rsid w:val="00D24885"/>
    <w:rsid w:val="00D420F0"/>
    <w:rsid w:val="00D7345C"/>
    <w:rsid w:val="00D77899"/>
    <w:rsid w:val="00D85A56"/>
    <w:rsid w:val="00DA5454"/>
    <w:rsid w:val="00DF46AB"/>
    <w:rsid w:val="00E05CC4"/>
    <w:rsid w:val="00E072E3"/>
    <w:rsid w:val="00E30106"/>
    <w:rsid w:val="00E40A92"/>
    <w:rsid w:val="00E46DB5"/>
    <w:rsid w:val="00E5009B"/>
    <w:rsid w:val="00E572C5"/>
    <w:rsid w:val="00E75BFF"/>
    <w:rsid w:val="00E92840"/>
    <w:rsid w:val="00E9549B"/>
    <w:rsid w:val="00ED1CC1"/>
    <w:rsid w:val="00ED6524"/>
    <w:rsid w:val="00EE55D2"/>
    <w:rsid w:val="00F208EE"/>
    <w:rsid w:val="00F41CCD"/>
    <w:rsid w:val="00F42553"/>
    <w:rsid w:val="00FA22D8"/>
    <w:rsid w:val="00FB711A"/>
    <w:rsid w:val="00FD0259"/>
    <w:rsid w:val="00FD34A1"/>
    <w:rsid w:val="00FD4E14"/>
    <w:rsid w:val="00FE1CF3"/>
    <w:rsid w:val="00FF0433"/>
    <w:rsid w:val="00FF6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428CF"/>
  <w15:docId w15:val="{5D0A41AE-40B6-4D64-9BD9-2EDD9922F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2E7"/>
  </w:style>
  <w:style w:type="paragraph" w:styleId="Heading1">
    <w:name w:val="heading 1"/>
    <w:basedOn w:val="Normal"/>
    <w:next w:val="Normal"/>
    <w:link w:val="Heading1Char"/>
    <w:uiPriority w:val="9"/>
    <w:qFormat/>
    <w:rsid w:val="00044B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4B1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44B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B10"/>
  </w:style>
  <w:style w:type="paragraph" w:styleId="Footer">
    <w:name w:val="footer"/>
    <w:basedOn w:val="Normal"/>
    <w:link w:val="FooterChar"/>
    <w:uiPriority w:val="99"/>
    <w:unhideWhenUsed/>
    <w:rsid w:val="00044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B10"/>
  </w:style>
  <w:style w:type="paragraph" w:styleId="ListParagraph">
    <w:name w:val="List Paragraph"/>
    <w:basedOn w:val="Normal"/>
    <w:uiPriority w:val="34"/>
    <w:qFormat/>
    <w:rsid w:val="00B572E7"/>
    <w:pPr>
      <w:ind w:left="720"/>
      <w:contextualSpacing/>
    </w:pPr>
  </w:style>
  <w:style w:type="table" w:styleId="TableGrid">
    <w:name w:val="Table Grid"/>
    <w:basedOn w:val="TableNormal"/>
    <w:uiPriority w:val="59"/>
    <w:rsid w:val="00B57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5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6AF"/>
    <w:rPr>
      <w:rFonts w:ascii="Tahoma" w:hAnsi="Tahoma" w:cs="Tahoma"/>
      <w:sz w:val="16"/>
      <w:szCs w:val="16"/>
    </w:rPr>
  </w:style>
  <w:style w:type="character" w:styleId="Hyperlink">
    <w:name w:val="Hyperlink"/>
    <w:basedOn w:val="DefaultParagraphFont"/>
    <w:uiPriority w:val="99"/>
    <w:unhideWhenUsed/>
    <w:rsid w:val="00416A28"/>
    <w:rPr>
      <w:color w:val="0000FF" w:themeColor="hyperlink"/>
      <w:u w:val="single"/>
    </w:rPr>
  </w:style>
  <w:style w:type="character" w:styleId="CommentReference">
    <w:name w:val="annotation reference"/>
    <w:basedOn w:val="DefaultParagraphFont"/>
    <w:uiPriority w:val="99"/>
    <w:semiHidden/>
    <w:unhideWhenUsed/>
    <w:rsid w:val="00AA105D"/>
    <w:rPr>
      <w:sz w:val="16"/>
      <w:szCs w:val="16"/>
    </w:rPr>
  </w:style>
  <w:style w:type="paragraph" w:customStyle="1" w:styleId="Default">
    <w:name w:val="Default"/>
    <w:rsid w:val="00AF73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AF73B6"/>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F73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4630133">
      <w:bodyDiv w:val="1"/>
      <w:marLeft w:val="0"/>
      <w:marRight w:val="0"/>
      <w:marTop w:val="0"/>
      <w:marBottom w:val="0"/>
      <w:divBdr>
        <w:top w:val="none" w:sz="0" w:space="0" w:color="auto"/>
        <w:left w:val="none" w:sz="0" w:space="0" w:color="auto"/>
        <w:bottom w:val="none" w:sz="0" w:space="0" w:color="auto"/>
        <w:right w:val="none" w:sz="0" w:space="0" w:color="auto"/>
      </w:divBdr>
    </w:div>
    <w:div w:id="200824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7502F8761786F41B330BA86432A405B" ma:contentTypeVersion="7" ma:contentTypeDescription="Create a new document." ma:contentTypeScope="" ma:versionID="9ee2fc7b171c372a3d1bf03e44c51ea8">
  <xsd:schema xmlns:xsd="http://www.w3.org/2001/XMLSchema" xmlns:xs="http://www.w3.org/2001/XMLSchema" xmlns:p="http://schemas.microsoft.com/office/2006/metadata/properties" xmlns:ns3="c63bd9a3-045c-4e6e-bc12-8b4a9b279544" targetNamespace="http://schemas.microsoft.com/office/2006/metadata/properties" ma:root="true" ma:fieldsID="63a28b7b7809d52cb5492b4b21c6f2ce" ns3:_="">
    <xsd:import namespace="c63bd9a3-045c-4e6e-bc12-8b4a9b27954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bd9a3-045c-4e6e-bc12-8b4a9b279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4735BC-1CC0-4E4B-ABC1-B90FBC91BEE9}">
  <ds:schemaRefs>
    <ds:schemaRef ds:uri="http://schemas.microsoft.com/sharepoint/v3/contenttype/forms"/>
  </ds:schemaRefs>
</ds:datastoreItem>
</file>

<file path=customXml/itemProps2.xml><?xml version="1.0" encoding="utf-8"?>
<ds:datastoreItem xmlns:ds="http://schemas.openxmlformats.org/officeDocument/2006/customXml" ds:itemID="{848079A2-9BAB-4052-ADC4-FD09A5F8FABA}">
  <ds:schemaRefs>
    <ds:schemaRef ds:uri="http://schemas.openxmlformats.org/officeDocument/2006/bibliography"/>
  </ds:schemaRefs>
</ds:datastoreItem>
</file>

<file path=customXml/itemProps3.xml><?xml version="1.0" encoding="utf-8"?>
<ds:datastoreItem xmlns:ds="http://schemas.openxmlformats.org/officeDocument/2006/customXml" ds:itemID="{AE445973-77B3-4D83-BE30-5673AFC21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bd9a3-045c-4e6e-bc12-8b4a9b2795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AA19D2-4EFD-4F80-95BD-5EFD7888C7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AAOS</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Copycenter</dc:creator>
  <cp:lastModifiedBy>Willer, Joanne</cp:lastModifiedBy>
  <cp:revision>2</cp:revision>
  <cp:lastPrinted>2015-01-06T22:27:00Z</cp:lastPrinted>
  <dcterms:created xsi:type="dcterms:W3CDTF">2020-12-21T21:13:00Z</dcterms:created>
  <dcterms:modified xsi:type="dcterms:W3CDTF">2020-12-21T21:13:00Z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0x01010047502F8761786F41B330BA86432A405B</vt:lpwstr>
  </property>
</Properties>
</file>